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bookmarkStart w:id="0" w:name="_GoBack"/>
      <w:r>
        <w:rPr>
          <w:rFonts w:hint="eastAsia" w:ascii="黑体" w:hAnsi="黑体" w:eastAsia="黑体" w:cs="黑体"/>
          <w:b w:val="0"/>
          <w:bCs w:val="0"/>
          <w:sz w:val="36"/>
          <w:szCs w:val="36"/>
          <w:lang w:val="en-US" w:eastAsia="zh-CN"/>
        </w:rPr>
        <w:t>湖南农业大学</w:t>
      </w:r>
      <w:r>
        <w:rPr>
          <w:rFonts w:hint="eastAsia" w:ascii="黑体" w:hAnsi="黑体" w:eastAsia="黑体" w:cs="黑体"/>
          <w:b w:val="0"/>
          <w:bCs w:val="0"/>
          <w:sz w:val="36"/>
          <w:szCs w:val="36"/>
        </w:rPr>
        <w:t>202</w:t>
      </w:r>
      <w:r>
        <w:rPr>
          <w:rFonts w:hint="eastAsia" w:ascii="黑体" w:hAnsi="黑体" w:eastAsia="黑体" w:cs="黑体"/>
          <w:b w:val="0"/>
          <w:bCs w:val="0"/>
          <w:sz w:val="36"/>
          <w:szCs w:val="36"/>
        </w:rPr>
        <w:t>3</w:t>
      </w:r>
      <w:r>
        <w:rPr>
          <w:rFonts w:hint="eastAsia" w:ascii="黑体" w:hAnsi="黑体" w:eastAsia="黑体" w:cs="黑体"/>
          <w:b w:val="0"/>
          <w:bCs w:val="0"/>
          <w:sz w:val="36"/>
          <w:szCs w:val="36"/>
        </w:rPr>
        <w:t>年硕士研究生招生考试</w:t>
      </w: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rPr>
        <w:t>网络技术与应用</w:t>
      </w: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lang w:val="en-US" w:eastAsia="zh-CN"/>
        </w:rPr>
        <w:t>考试大纲</w:t>
      </w:r>
    </w:p>
    <w:bookmarkEnd w:id="0"/>
    <w:p>
      <w:pPr>
        <w:jc w:val="center"/>
        <w:rPr>
          <w:rFonts w:hint="default" w:ascii="Times New Roman" w:hAnsi="Times New Roman" w:eastAsia="宋体"/>
          <w:b/>
          <w:sz w:val="36"/>
          <w:szCs w:val="36"/>
          <w:lang w:val="en-US" w:eastAsia="zh-CN"/>
        </w:rPr>
      </w:pPr>
    </w:p>
    <w:p>
      <w:pPr>
        <w:pStyle w:val="8"/>
        <w:numPr>
          <w:ilvl w:val="0"/>
          <w:numId w:val="1"/>
        </w:numPr>
        <w:ind w:firstLineChars="0"/>
        <w:rPr>
          <w:rFonts w:ascii="Times New Roman" w:hAnsi="Times New Roman" w:eastAsia="黑体"/>
        </w:rPr>
      </w:pPr>
      <w:r>
        <w:rPr>
          <w:rFonts w:hint="eastAsia" w:ascii="Times New Roman" w:hAnsi="Times New Roman" w:eastAsia="黑体"/>
        </w:rPr>
        <w:t>考试性质</w:t>
      </w:r>
    </w:p>
    <w:p>
      <w:pPr>
        <w:ind w:firstLine="420" w:firstLineChars="200"/>
        <w:rPr>
          <w:rFonts w:ascii="Times New Roman" w:hAnsi="Times New Roman" w:eastAsia="宋体"/>
        </w:rPr>
      </w:pPr>
      <w:r>
        <w:rPr>
          <w:rFonts w:ascii="Times New Roman" w:hAnsi="Times New Roman" w:eastAsia="宋体"/>
        </w:rPr>
        <w:t>农业综合知识</w:t>
      </w:r>
      <w:r>
        <w:rPr>
          <w:rFonts w:hint="eastAsia" w:ascii="Times New Roman" w:hAnsi="Times New Roman" w:eastAsia="宋体"/>
        </w:rPr>
        <w:t>3报考农业工程与信息技术领域农业硕士的考试科目，《</w:t>
      </w:r>
      <w:r>
        <w:rPr>
          <w:rFonts w:ascii="Times New Roman" w:hAnsi="Times New Roman" w:eastAsia="宋体"/>
        </w:rPr>
        <w:t>农业综合知识</w:t>
      </w:r>
      <w:r>
        <w:rPr>
          <w:rFonts w:hint="eastAsia" w:ascii="Times New Roman" w:hAnsi="Times New Roman" w:eastAsia="宋体"/>
        </w:rPr>
        <w:t xml:space="preserve">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ind w:firstLine="420" w:firstLineChars="200"/>
        <w:rPr>
          <w:rFonts w:ascii="Times New Roman" w:hAnsi="Times New Roman" w:eastAsia="宋体"/>
        </w:rPr>
      </w:pPr>
    </w:p>
    <w:p>
      <w:pPr>
        <w:pStyle w:val="8"/>
        <w:numPr>
          <w:ilvl w:val="0"/>
          <w:numId w:val="1"/>
        </w:numPr>
        <w:ind w:firstLineChars="0"/>
        <w:rPr>
          <w:rFonts w:ascii="Times New Roman" w:hAnsi="Times New Roman" w:eastAsia="黑体"/>
        </w:rPr>
      </w:pPr>
      <w:r>
        <w:rPr>
          <w:rFonts w:hint="eastAsia" w:ascii="Times New Roman" w:hAnsi="Times New Roman" w:eastAsia="黑体"/>
        </w:rPr>
        <w:t>考查目标</w:t>
      </w:r>
    </w:p>
    <w:p>
      <w:pPr>
        <w:ind w:firstLine="422" w:firstLineChars="200"/>
        <w:rPr>
          <w:rFonts w:ascii="Times New Roman" w:hAnsi="Times New Roman" w:eastAsia="宋体"/>
        </w:rPr>
      </w:pPr>
      <w:r>
        <w:rPr>
          <w:rFonts w:ascii="Times New Roman" w:hAnsi="Times New Roman" w:eastAsia="宋体"/>
          <w:b/>
        </w:rPr>
        <w:t>网络技术与应用</w:t>
      </w:r>
      <w:r>
        <w:rPr>
          <w:rFonts w:ascii="Times New Roman" w:hAnsi="Times New Roman" w:eastAsia="宋体"/>
        </w:rPr>
        <w:t>要求考生掌握大学本科阶段计算机网络课程的基本知识、基本理论，以及运用计算机网络原理分析和解决实际问题的能力。</w:t>
      </w:r>
      <w:r>
        <w:rPr>
          <w:rFonts w:hint="eastAsia" w:ascii="Times New Roman" w:hAnsi="Times New Roman" w:eastAsia="宋体"/>
        </w:rPr>
        <w:t>要求考生：</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系统掌握数据通信的主要技术概念和指标，如多路复用技术，调制技术，交换技术，</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 xml:space="preserve">差错检测和控制技术等。 </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理解数据通信协议的基本原理和功能，各标准化组织的沿革和工作范围，</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 xml:space="preserve">掌握若干重要数据通信规程的工作原理。 </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3.</w:t>
      </w:r>
      <w:r>
        <w:rPr>
          <w:rFonts w:ascii="Times New Roman" w:hAnsi="Times New Roman" w:eastAsia="宋体" w:cs="Times New Roman"/>
          <w:sz w:val="21"/>
          <w:szCs w:val="21"/>
        </w:rPr>
        <w:t>掌握计算机网络的基本概念，理解计算机网络的分类方法，理解ISO（国际标准化组</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 xml:space="preserve">织）的开放系统互联参考模型（OSI/RM）和TCP/IP协议体系架构的理论基础及应用的基本方法。 </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4.</w:t>
      </w:r>
      <w:r>
        <w:rPr>
          <w:rFonts w:ascii="Times New Roman" w:hAnsi="Times New Roman" w:eastAsia="宋体" w:cs="Times New Roman"/>
          <w:sz w:val="21"/>
          <w:szCs w:val="21"/>
        </w:rPr>
        <w:t>理解计算机网络技术的发展及现状，在计算机网络技术的发展和应用上具有前瞻性。</w:t>
      </w:r>
    </w:p>
    <w:p>
      <w:pPr>
        <w:jc w:val="left"/>
        <w:rPr>
          <w:b/>
          <w:bCs/>
        </w:rPr>
      </w:pPr>
      <w:r>
        <w:rPr>
          <w:rFonts w:hint="eastAsia" w:ascii="Times New Roman" w:hAnsi="Times New Roman" w:eastAsia="宋体"/>
          <w:b/>
          <w:bCs/>
        </w:rPr>
        <w:t>试卷题型结构</w:t>
      </w:r>
    </w:p>
    <w:p>
      <w:pPr>
        <w:ind w:firstLine="420" w:firstLineChars="200"/>
        <w:rPr>
          <w:rFonts w:hint="eastAsia" w:ascii="Times New Roman" w:hAnsi="Times New Roman" w:eastAsia="宋体"/>
        </w:rPr>
      </w:pPr>
    </w:p>
    <w:p>
      <w:pPr>
        <w:ind w:firstLine="420" w:firstLineChars="200"/>
        <w:rPr>
          <w:rFonts w:hint="eastAsia" w:ascii="Times New Roman" w:hAnsi="Times New Roman" w:eastAsia="宋体"/>
        </w:rPr>
      </w:pPr>
      <w:r>
        <w:rPr>
          <w:rFonts w:ascii="Times New Roman" w:hAnsi="Times New Roman" w:eastAsia="宋体"/>
        </w:rPr>
        <w:t>网络技术与应用部分：</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单项选择题</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约占40%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填空题</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名词解释</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简答题</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
      <w:pPr>
        <w:pStyle w:val="8"/>
        <w:numPr>
          <w:ilvl w:val="0"/>
          <w:numId w:val="1"/>
        </w:numPr>
        <w:ind w:firstLineChars="0"/>
        <w:rPr>
          <w:rFonts w:ascii="Times New Roman" w:hAnsi="Times New Roman" w:eastAsia="黑体"/>
        </w:rPr>
      </w:pPr>
      <w:r>
        <w:rPr>
          <w:rFonts w:hint="eastAsia" w:ascii="Times New Roman" w:hAnsi="Times New Roman" w:eastAsia="黑体"/>
        </w:rPr>
        <w:t>考查内容</w:t>
      </w:r>
    </w:p>
    <w:p>
      <w:pPr>
        <w:pStyle w:val="8"/>
        <w:ind w:left="420" w:firstLine="0" w:firstLineChars="0"/>
        <w:rPr>
          <w:rFonts w:ascii="Times New Roman" w:hAnsi="Times New Roman" w:eastAsia="黑体"/>
        </w:rPr>
      </w:pPr>
    </w:p>
    <w:p>
      <w:pPr>
        <w:pStyle w:val="8"/>
        <w:ind w:left="420" w:firstLine="0" w:firstLineChars="0"/>
        <w:rPr>
          <w:rFonts w:ascii="Times New Roman" w:hAnsi="Times New Roman" w:eastAsia="宋体"/>
          <w:b/>
        </w:rPr>
      </w:pPr>
      <w:r>
        <w:rPr>
          <w:rFonts w:ascii="Times New Roman" w:hAnsi="Times New Roman" w:eastAsia="宋体"/>
          <w:b/>
        </w:rPr>
        <w:t>网络技术与应用部分：</w:t>
      </w:r>
    </w:p>
    <w:p>
      <w:pPr>
        <w:pStyle w:val="9"/>
        <w:jc w:val="center"/>
        <w:rPr>
          <w:rFonts w:ascii="Times New Roman" w:hAnsi="Times New Roman" w:eastAsia="华文中宋" w:cs="Times New Roman"/>
          <w:sz w:val="21"/>
          <w:szCs w:val="21"/>
        </w:rPr>
      </w:pPr>
      <w:r>
        <w:rPr>
          <w:rFonts w:hint="eastAsia" w:ascii="宋体" w:hAnsi="宋体" w:eastAsia="宋体" w:cs="宋体"/>
          <w:sz w:val="21"/>
          <w:szCs w:val="21"/>
        </w:rPr>
        <w:t>一</w:t>
      </w:r>
      <w:r>
        <w:rPr>
          <w:rFonts w:hint="eastAsia" w:ascii="Malgun Gothic Semilight" w:hAnsi="Malgun Gothic Semilight" w:eastAsia="Malgun Gothic Semilight" w:cs="Malgun Gothic Semilight"/>
          <w:sz w:val="21"/>
          <w:szCs w:val="21"/>
        </w:rPr>
        <w:t>、</w:t>
      </w:r>
      <w:r>
        <w:rPr>
          <w:rFonts w:hint="eastAsia" w:ascii="宋体" w:hAnsi="宋体" w:eastAsia="宋体" w:cs="宋体"/>
          <w:sz w:val="21"/>
          <w:szCs w:val="21"/>
        </w:rPr>
        <w:t>计算机网络基本概念</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计算机网络在信息时代的作用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计算机网络的发展过程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计算机网络的分类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计算机网络的主要性能指标</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二、计算机网络的协议与体系结构</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计算机网络体系结构的形成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协议与划分层次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计算机网络的原理体系结构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OSI与TCP/IP体系结构的比较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客户——服务器方式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三、物理层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物理层的基本概念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数据通信的基础知识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物理层下面的传播媒体</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模拟传输与数字传输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信道复用技术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四、数据链路层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数据链路层的基本概念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停止等待协议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连续ARQ协议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选择重传ARQ协议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互联网的点对点协议PPP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五、局域网</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局域网概述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传统以太网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以太网的MAC层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扩展局域网</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虚拟局域网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高速以太网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其他种类的高速局域网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8</w:t>
      </w:r>
      <w:r>
        <w:rPr>
          <w:rFonts w:hint="eastAsia" w:ascii="Times New Roman" w:hAnsi="Times New Roman" w:eastAsia="宋体" w:cs="Times New Roman"/>
          <w:sz w:val="21"/>
          <w:szCs w:val="21"/>
        </w:rPr>
        <w:t>．</w:t>
      </w:r>
      <w:r>
        <w:rPr>
          <w:rFonts w:ascii="Times New Roman" w:hAnsi="Times New Roman" w:eastAsia="宋体" w:cs="Times New Roman"/>
          <w:sz w:val="21"/>
          <w:szCs w:val="21"/>
        </w:rPr>
        <w:t>无线局域网</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六、网络层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路由器在互联网中的作用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IP协议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划分子网和构造超网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互联网控制报文协议ICMP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互联网的路由选择协议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w:t>
      </w:r>
      <w:r>
        <w:rPr>
          <w:rFonts w:ascii="Times New Roman" w:hAnsi="Times New Roman" w:eastAsia="宋体" w:cs="Times New Roman"/>
          <w:sz w:val="21"/>
          <w:szCs w:val="21"/>
        </w:rPr>
        <w:t>IP多播和互联网管理协议</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Times New Roman" w:hAnsi="Times New Roman" w:eastAsia="宋体" w:cs="Times New Roman"/>
          <w:sz w:val="21"/>
          <w:szCs w:val="21"/>
        </w:rPr>
        <w:t>．</w:t>
      </w:r>
      <w:r>
        <w:rPr>
          <w:rFonts w:ascii="Times New Roman" w:hAnsi="Times New Roman" w:eastAsia="宋体" w:cs="Times New Roman"/>
          <w:sz w:val="21"/>
          <w:szCs w:val="21"/>
        </w:rPr>
        <w:t>下一代的网际协议IPv6</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七、运输层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运输层概述</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TCP/IP体系中的运输层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用户数据报协议UDP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传输控制协议TCP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八、应用层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域名系统DNS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文件传送协议FTP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电子邮件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万维网WWW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九、计算机网络的安全</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网络安全问题概述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常规密钥密码体制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公开密钥密码体制 </w:t>
      </w:r>
    </w:p>
    <w:p>
      <w:pPr>
        <w:pStyle w:val="9"/>
        <w:rPr>
          <w:rFonts w:ascii="Times New Roman" w:hAnsi="Times New Roman" w:eastAsia="宋体" w:cs="Times New Roman"/>
          <w:b/>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Malgun Gothic Semilight">
    <w:panose1 w:val="020B0502040204020203"/>
    <w:charset w:val="86"/>
    <w:family w:val="swiss"/>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64DBC"/>
    <w:multiLevelType w:val="multilevel"/>
    <w:tmpl w:val="62A64DBC"/>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104E33D9"/>
    <w:rsid w:val="3AE749C8"/>
    <w:rsid w:val="5A04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hunau</Company>
  <Pages>3</Pages>
  <Words>1028</Words>
  <Characters>1094</Characters>
  <Lines>26</Lines>
  <Paragraphs>7</Paragraphs>
  <TotalTime>0</TotalTime>
  <ScaleCrop>false</ScaleCrop>
  <LinksUpToDate>false</LinksUpToDate>
  <CharactersWithSpaces>1349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子嫣麻麻</cp:lastModifiedBy>
  <dcterms:modified xsi:type="dcterms:W3CDTF">2022-09-21T09:29:41Z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B1026EBD66564510A6525555CED8C0D2</vt:lpwstr>
  </property>
</Properties>
</file>