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after="240" w:afterLines="100"/>
        <w:jc w:val="center"/>
        <w:rPr>
          <w:rFonts w:hint="eastAsia" w:ascii="黑体" w:hAnsi="黑体" w:eastAsia="黑体"/>
          <w:b/>
          <w:bCs/>
          <w:color w:val="000000"/>
          <w:sz w:val="36"/>
          <w:szCs w:val="36"/>
        </w:rPr>
      </w:pPr>
      <w:bookmarkStart w:id="1" w:name="_GoBack"/>
      <w:bookmarkEnd w:id="1"/>
      <w:r>
        <w:rPr>
          <w:rFonts w:hint="eastAsia" w:ascii="黑体" w:hAnsi="黑体" w:eastAsia="黑体"/>
          <w:b/>
          <w:bCs/>
          <w:color w:val="000000"/>
          <w:sz w:val="36"/>
          <w:szCs w:val="36"/>
        </w:rPr>
        <w:t>初试自命题科目考试大纲</w:t>
      </w:r>
    </w:p>
    <w:p>
      <w:pPr>
        <w:spacing w:before="240" w:beforeLines="100" w:after="240" w:afterLines="100"/>
        <w:ind w:firstLine="321" w:firstLineChars="100"/>
        <w:rPr>
          <w:rFonts w:hint="eastAsia" w:ascii="宋体" w:hAnsi="宋体"/>
          <w:b/>
          <w:bCs/>
          <w:color w:val="000000"/>
          <w:sz w:val="32"/>
          <w:szCs w:val="32"/>
        </w:rPr>
      </w:pPr>
      <w:r>
        <w:rPr>
          <w:rFonts w:hint="eastAsia" w:ascii="宋体" w:hAnsi="宋体"/>
          <w:b/>
          <w:bCs/>
          <w:color w:val="000000"/>
          <w:sz w:val="32"/>
          <w:szCs w:val="32"/>
        </w:rPr>
        <w:t xml:space="preserve">招生单位名称：经济管理学院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955"/>
        <w:gridCol w:w="3659"/>
        <w:gridCol w:w="6288"/>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5" w:type="dxa"/>
            <w:noWrap w:val="0"/>
            <w:vAlign w:val="top"/>
          </w:tcPr>
          <w:p>
            <w:pPr>
              <w:spacing w:before="240" w:beforeLines="100" w:after="240" w:afterLines="100"/>
              <w:jc w:val="center"/>
              <w:rPr>
                <w:rFonts w:hint="eastAsia" w:ascii="宋体" w:hAnsi="宋体"/>
                <w:b/>
                <w:bCs/>
                <w:color w:val="000000"/>
                <w:sz w:val="28"/>
                <w:szCs w:val="28"/>
              </w:rPr>
            </w:pPr>
            <w:r>
              <w:rPr>
                <w:rFonts w:hint="eastAsia" w:ascii="宋体" w:hAnsi="宋体"/>
                <w:b/>
                <w:bCs/>
                <w:color w:val="000000"/>
                <w:sz w:val="28"/>
                <w:szCs w:val="28"/>
              </w:rPr>
              <w:t>科目代码</w:t>
            </w:r>
          </w:p>
        </w:tc>
        <w:tc>
          <w:tcPr>
            <w:tcW w:w="955" w:type="dxa"/>
            <w:noWrap w:val="0"/>
            <w:vAlign w:val="top"/>
          </w:tcPr>
          <w:p>
            <w:pPr>
              <w:spacing w:before="240" w:beforeLines="100" w:after="240" w:afterLines="100"/>
              <w:jc w:val="center"/>
              <w:rPr>
                <w:rFonts w:hint="eastAsia" w:ascii="宋体" w:hAnsi="宋体"/>
                <w:b/>
                <w:bCs/>
                <w:color w:val="000000"/>
                <w:sz w:val="28"/>
                <w:szCs w:val="28"/>
              </w:rPr>
            </w:pPr>
            <w:r>
              <w:rPr>
                <w:rFonts w:hint="eastAsia" w:ascii="宋体" w:hAnsi="宋体"/>
                <w:b/>
                <w:bCs/>
                <w:color w:val="000000"/>
                <w:sz w:val="28"/>
                <w:szCs w:val="28"/>
              </w:rPr>
              <w:t>科目名称</w:t>
            </w:r>
          </w:p>
        </w:tc>
        <w:tc>
          <w:tcPr>
            <w:tcW w:w="3659" w:type="dxa"/>
            <w:noWrap w:val="0"/>
            <w:vAlign w:val="top"/>
          </w:tcPr>
          <w:p>
            <w:pPr>
              <w:spacing w:before="240" w:beforeLines="100" w:after="240" w:afterLines="100"/>
              <w:jc w:val="center"/>
              <w:rPr>
                <w:rFonts w:hint="eastAsia" w:ascii="宋体" w:hAnsi="宋体"/>
                <w:b/>
                <w:bCs/>
                <w:color w:val="000000"/>
                <w:sz w:val="28"/>
                <w:szCs w:val="28"/>
              </w:rPr>
            </w:pPr>
            <w:r>
              <w:rPr>
                <w:rFonts w:hint="eastAsia" w:ascii="宋体" w:hAnsi="宋体"/>
                <w:b/>
                <w:bCs/>
                <w:color w:val="000000"/>
                <w:sz w:val="28"/>
                <w:szCs w:val="28"/>
              </w:rPr>
              <w:t>参考书目</w:t>
            </w:r>
          </w:p>
        </w:tc>
        <w:tc>
          <w:tcPr>
            <w:tcW w:w="6288" w:type="dxa"/>
            <w:noWrap w:val="0"/>
            <w:vAlign w:val="top"/>
          </w:tcPr>
          <w:p>
            <w:pPr>
              <w:spacing w:before="240" w:beforeLines="100" w:after="240" w:afterLines="100"/>
              <w:jc w:val="center"/>
              <w:rPr>
                <w:rFonts w:hint="eastAsia" w:ascii="宋体" w:hAnsi="宋体"/>
                <w:b/>
                <w:bCs/>
                <w:color w:val="000000"/>
                <w:sz w:val="28"/>
                <w:szCs w:val="28"/>
              </w:rPr>
            </w:pPr>
            <w:r>
              <w:rPr>
                <w:rFonts w:hint="eastAsia" w:ascii="宋体" w:hAnsi="宋体"/>
                <w:b/>
                <w:bCs/>
                <w:color w:val="000000"/>
                <w:sz w:val="28"/>
                <w:szCs w:val="28"/>
              </w:rPr>
              <w:t>考试大纲</w:t>
            </w:r>
          </w:p>
        </w:tc>
        <w:tc>
          <w:tcPr>
            <w:tcW w:w="722" w:type="dxa"/>
            <w:noWrap w:val="0"/>
            <w:vAlign w:val="top"/>
          </w:tcPr>
          <w:p>
            <w:pPr>
              <w:spacing w:before="240" w:beforeLines="100" w:after="240" w:afterLines="100"/>
              <w:jc w:val="center"/>
              <w:rPr>
                <w:rFonts w:hint="eastAsia" w:ascii="宋体" w:hAnsi="宋体"/>
                <w:b/>
                <w:bCs/>
                <w:color w:val="000000"/>
                <w:sz w:val="28"/>
                <w:szCs w:val="28"/>
              </w:rPr>
            </w:pPr>
            <w:r>
              <w:rPr>
                <w:rFonts w:hint="eastAsia" w:ascii="宋体" w:hAnsi="宋体"/>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5" w:type="dxa"/>
            <w:noWrap w:val="0"/>
            <w:vAlign w:val="center"/>
          </w:tcPr>
          <w:p>
            <w:pPr>
              <w:jc w:val="center"/>
              <w:rPr>
                <w:rFonts w:hint="eastAsia"/>
                <w:bCs/>
                <w:sz w:val="28"/>
                <w:szCs w:val="28"/>
              </w:rPr>
            </w:pPr>
            <w:r>
              <w:rPr>
                <w:rFonts w:hint="eastAsia" w:ascii="宋体" w:hAnsi="宋体"/>
                <w:bCs/>
                <w:sz w:val="28"/>
                <w:szCs w:val="28"/>
              </w:rPr>
              <w:t>436</w:t>
            </w:r>
          </w:p>
        </w:tc>
        <w:tc>
          <w:tcPr>
            <w:tcW w:w="955" w:type="dxa"/>
            <w:noWrap w:val="0"/>
            <w:vAlign w:val="center"/>
          </w:tcPr>
          <w:p>
            <w:pPr>
              <w:jc w:val="center"/>
              <w:rPr>
                <w:rFonts w:hint="eastAsia"/>
                <w:bCs/>
                <w:sz w:val="28"/>
                <w:szCs w:val="28"/>
              </w:rPr>
            </w:pPr>
            <w:r>
              <w:rPr>
                <w:rFonts w:hint="eastAsia"/>
                <w:bCs/>
                <w:sz w:val="28"/>
                <w:szCs w:val="28"/>
              </w:rPr>
              <w:t>资产评估专业基础</w:t>
            </w:r>
          </w:p>
        </w:tc>
        <w:tc>
          <w:tcPr>
            <w:tcW w:w="3659" w:type="dxa"/>
            <w:noWrap w:val="0"/>
            <w:vAlign w:val="center"/>
          </w:tcPr>
          <w:p>
            <w:pPr>
              <w:jc w:val="center"/>
              <w:rPr>
                <w:rFonts w:ascii="Times New Roman" w:hAnsi="Times New Roman"/>
                <w:bCs/>
                <w:sz w:val="24"/>
                <w:szCs w:val="24"/>
              </w:rPr>
            </w:pPr>
            <w:r>
              <w:rPr>
                <w:rFonts w:ascii="Times New Roman" w:hAnsi="Times New Roman"/>
                <w:bCs/>
                <w:sz w:val="24"/>
                <w:szCs w:val="24"/>
              </w:rPr>
              <w:t>《资产评估学基础》 周友梅、胡晓明主编，上海财经大学出版社2014年10月第三版</w:t>
            </w:r>
          </w:p>
        </w:tc>
        <w:tc>
          <w:tcPr>
            <w:tcW w:w="6288" w:type="dxa"/>
            <w:noWrap w:val="0"/>
            <w:vAlign w:val="top"/>
          </w:tcPr>
          <w:p>
            <w:pPr>
              <w:spacing w:before="240" w:beforeLines="100" w:after="240" w:afterLines="100"/>
              <w:rPr>
                <w:rFonts w:ascii="Times New Roman" w:hAnsi="Times New Roman"/>
                <w:bCs/>
                <w:sz w:val="24"/>
                <w:szCs w:val="24"/>
              </w:rPr>
            </w:pPr>
            <w:r>
              <w:rPr>
                <w:rFonts w:ascii="Times New Roman" w:hAnsi="Times New Roman"/>
                <w:bCs/>
                <w:sz w:val="24"/>
                <w:szCs w:val="24"/>
              </w:rPr>
              <w:t>一、考试目的与要求</w:t>
            </w:r>
          </w:p>
          <w:p>
            <w:pPr>
              <w:spacing w:before="240" w:beforeLines="100" w:after="240" w:afterLines="100"/>
              <w:ind w:firstLine="480" w:firstLineChars="200"/>
              <w:rPr>
                <w:rFonts w:ascii="Times New Roman" w:hAnsi="Times New Roman"/>
                <w:bCs/>
                <w:sz w:val="24"/>
                <w:szCs w:val="24"/>
              </w:rPr>
            </w:pPr>
            <w:r>
              <w:rPr>
                <w:rFonts w:ascii="Times New Roman" w:hAnsi="Times New Roman"/>
                <w:bCs/>
                <w:sz w:val="24"/>
                <w:szCs w:val="24"/>
              </w:rPr>
              <w:t>1．考试目的</w:t>
            </w:r>
          </w:p>
          <w:p>
            <w:pPr>
              <w:spacing w:before="240" w:beforeLines="100" w:after="240" w:afterLines="100"/>
              <w:ind w:firstLine="480" w:firstLineChars="200"/>
              <w:rPr>
                <w:rFonts w:ascii="Times New Roman" w:hAnsi="Times New Roman"/>
                <w:bCs/>
                <w:sz w:val="24"/>
                <w:szCs w:val="24"/>
              </w:rPr>
            </w:pPr>
            <w:r>
              <w:rPr>
                <w:rFonts w:ascii="Times New Roman" w:hAnsi="Times New Roman"/>
                <w:bCs/>
                <w:sz w:val="24"/>
                <w:szCs w:val="24"/>
              </w:rPr>
              <w:t>考核考生对资产评估基本理论、基本方法和基本技能的掌握程度，能够对各项单项资产评估和企业价值评估的基本方法有一定程度的认识。</w:t>
            </w:r>
          </w:p>
          <w:p>
            <w:pPr>
              <w:spacing w:before="240" w:beforeLines="100" w:after="240" w:afterLines="100"/>
              <w:ind w:firstLine="480" w:firstLineChars="200"/>
              <w:rPr>
                <w:rFonts w:ascii="Times New Roman" w:hAnsi="Times New Roman"/>
                <w:bCs/>
                <w:sz w:val="24"/>
                <w:szCs w:val="24"/>
              </w:rPr>
            </w:pPr>
            <w:r>
              <w:rPr>
                <w:rFonts w:ascii="Times New Roman" w:hAnsi="Times New Roman"/>
                <w:bCs/>
                <w:sz w:val="24"/>
                <w:szCs w:val="24"/>
              </w:rPr>
              <w:t>2．考试要求</w:t>
            </w:r>
          </w:p>
          <w:p>
            <w:pPr>
              <w:ind w:firstLine="480" w:firstLineChars="200"/>
              <w:rPr>
                <w:rFonts w:ascii="Times New Roman" w:hAnsi="Times New Roman"/>
                <w:bCs/>
                <w:sz w:val="24"/>
                <w:szCs w:val="24"/>
              </w:rPr>
            </w:pPr>
            <w:r>
              <w:rPr>
                <w:rFonts w:ascii="Times New Roman" w:hAnsi="Times New Roman"/>
                <w:bCs/>
                <w:sz w:val="24"/>
                <w:szCs w:val="24"/>
              </w:rPr>
              <w:t>本项考试课程要求学生掌握资产评估的基本概念、基本原理和基本方法，以及流动资产、机器设备、无形资产、长期投资等各类单项资产评估的基本内容和基本方法的运用，以及企业价值评估的基本内容和基本方法的运用。</w:t>
            </w:r>
          </w:p>
          <w:p>
            <w:pPr>
              <w:spacing w:before="240" w:beforeLines="100" w:after="240" w:afterLines="100"/>
              <w:rPr>
                <w:rFonts w:ascii="Times New Roman" w:hAnsi="Times New Roman"/>
                <w:bCs/>
                <w:sz w:val="24"/>
                <w:szCs w:val="24"/>
              </w:rPr>
            </w:pPr>
            <w:r>
              <w:rPr>
                <w:rFonts w:ascii="Times New Roman" w:hAnsi="Times New Roman"/>
                <w:bCs/>
                <w:sz w:val="24"/>
                <w:szCs w:val="24"/>
              </w:rPr>
              <w:t>二、考试范围</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资产评估的定义与特点、产生与发展、分类与要素、假设与原则、资产评估主体与评估程序</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资产评估的成本法、市场法、收益法的比较与选择</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流动资产评估技术、机器设备评估技术</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无形资产评估技术，专利权和专有技术评估，商标权评估，著作权评估，特许权评估，租赁权评估具体应用</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长期投资评估技术、房地产评估技术、企业价值评估技术</w:t>
            </w:r>
          </w:p>
          <w:p>
            <w:pPr>
              <w:numPr>
                <w:ilvl w:val="0"/>
                <w:numId w:val="1"/>
              </w:numPr>
              <w:ind w:left="0" w:firstLine="480" w:firstLineChars="200"/>
              <w:rPr>
                <w:rFonts w:ascii="Times New Roman" w:hAnsi="Times New Roman"/>
                <w:bCs/>
                <w:sz w:val="24"/>
                <w:szCs w:val="24"/>
              </w:rPr>
            </w:pPr>
            <w:r>
              <w:rPr>
                <w:rFonts w:ascii="Times New Roman" w:hAnsi="Times New Roman"/>
                <w:bCs/>
                <w:sz w:val="24"/>
                <w:szCs w:val="24"/>
              </w:rPr>
              <w:t>资产评估报告的编制、复核与应用，国内外资产评估基本准则的内容</w:t>
            </w:r>
          </w:p>
          <w:p>
            <w:pPr>
              <w:spacing w:before="240" w:beforeLines="100" w:after="240" w:afterLines="100"/>
              <w:rPr>
                <w:rFonts w:ascii="Times New Roman" w:hAnsi="Times New Roman"/>
                <w:bCs/>
                <w:sz w:val="24"/>
                <w:szCs w:val="24"/>
              </w:rPr>
            </w:pPr>
            <w:r>
              <w:rPr>
                <w:rFonts w:ascii="Times New Roman" w:hAnsi="Times New Roman"/>
                <w:bCs/>
                <w:sz w:val="24"/>
                <w:szCs w:val="24"/>
              </w:rPr>
              <w:t>三、试题结构（包括考试时间，试题类型等）</w:t>
            </w:r>
          </w:p>
          <w:p>
            <w:pPr>
              <w:spacing w:before="240" w:beforeLines="100" w:after="240" w:afterLines="100"/>
              <w:rPr>
                <w:rFonts w:ascii="Times New Roman" w:hAnsi="Times New Roman"/>
                <w:bCs/>
                <w:sz w:val="24"/>
                <w:szCs w:val="24"/>
              </w:rPr>
            </w:pPr>
            <w:r>
              <w:rPr>
                <w:rFonts w:ascii="Times New Roman" w:hAnsi="Times New Roman"/>
                <w:bCs/>
                <w:sz w:val="24"/>
                <w:szCs w:val="24"/>
              </w:rPr>
              <w:t>1．考试时间</w:t>
            </w:r>
          </w:p>
          <w:p>
            <w:pPr>
              <w:ind w:firstLine="480" w:firstLineChars="200"/>
              <w:rPr>
                <w:rFonts w:ascii="Times New Roman" w:hAnsi="Times New Roman"/>
                <w:bCs/>
                <w:sz w:val="24"/>
                <w:szCs w:val="24"/>
              </w:rPr>
            </w:pPr>
            <w:r>
              <w:rPr>
                <w:rFonts w:ascii="Times New Roman" w:hAnsi="Times New Roman"/>
                <w:bCs/>
                <w:sz w:val="24"/>
                <w:szCs w:val="24"/>
              </w:rPr>
              <w:t>资产评估专业基础初试考试时间为180分钟。</w:t>
            </w:r>
          </w:p>
          <w:p>
            <w:pPr>
              <w:spacing w:before="240" w:beforeLines="100" w:after="240" w:afterLines="100"/>
              <w:rPr>
                <w:rFonts w:ascii="Times New Roman" w:hAnsi="Times New Roman"/>
                <w:bCs/>
                <w:sz w:val="24"/>
                <w:szCs w:val="24"/>
              </w:rPr>
            </w:pPr>
            <w:r>
              <w:rPr>
                <w:rFonts w:ascii="Times New Roman" w:hAnsi="Times New Roman"/>
                <w:bCs/>
                <w:sz w:val="24"/>
                <w:szCs w:val="24"/>
              </w:rPr>
              <w:t>2．试题类型</w:t>
            </w:r>
          </w:p>
          <w:p>
            <w:pPr>
              <w:ind w:firstLine="480" w:firstLineChars="200"/>
              <w:rPr>
                <w:rFonts w:ascii="Times New Roman" w:hAnsi="Times New Roman"/>
                <w:bCs/>
                <w:sz w:val="24"/>
                <w:szCs w:val="24"/>
              </w:rPr>
            </w:pPr>
            <w:r>
              <w:rPr>
                <w:rFonts w:ascii="Times New Roman" w:hAnsi="Times New Roman"/>
                <w:bCs/>
                <w:sz w:val="24"/>
                <w:szCs w:val="24"/>
              </w:rPr>
              <w:t>主要题型有名词解释、单项选择题、简答题、论述题、计算题和综合题。具体考试题型根据需要，为上述各类型的组合。</w:t>
            </w:r>
          </w:p>
          <w:p>
            <w:pPr>
              <w:ind w:firstLine="480" w:firstLineChars="200"/>
              <w:rPr>
                <w:rFonts w:ascii="Times New Roman" w:hAnsi="Times New Roman"/>
                <w:bCs/>
                <w:sz w:val="24"/>
                <w:szCs w:val="24"/>
              </w:rPr>
            </w:pPr>
          </w:p>
        </w:tc>
        <w:tc>
          <w:tcPr>
            <w:tcW w:w="722" w:type="dxa"/>
            <w:noWrap w:val="0"/>
            <w:vAlign w:val="top"/>
          </w:tcPr>
          <w:p>
            <w:pPr>
              <w:spacing w:before="240" w:beforeLines="100" w:after="240" w:afterLines="100"/>
              <w:jc w:val="center"/>
              <w:rPr>
                <w:rFonts w:ascii="华文仿宋" w:hAnsi="华文仿宋" w:eastAsia="华文仿宋"/>
                <w:bCs/>
                <w:color w:val="000000"/>
                <w:sz w:val="28"/>
                <w:szCs w:val="28"/>
              </w:rPr>
            </w:pPr>
          </w:p>
          <w:p>
            <w:pPr>
              <w:spacing w:before="240" w:beforeLines="100" w:after="240" w:afterLines="100"/>
              <w:jc w:val="center"/>
              <w:rPr>
                <w:rFonts w:ascii="华文仿宋" w:hAnsi="华文仿宋" w:eastAsia="华文仿宋"/>
                <w:bCs/>
                <w:color w:val="000000"/>
                <w:sz w:val="28"/>
                <w:szCs w:val="28"/>
              </w:rPr>
            </w:pPr>
          </w:p>
          <w:p>
            <w:pPr>
              <w:spacing w:before="240" w:beforeLines="100" w:after="240" w:afterLines="100"/>
              <w:jc w:val="center"/>
              <w:rPr>
                <w:rFonts w:hint="eastAsia" w:ascii="华文仿宋" w:hAnsi="华文仿宋" w:eastAsia="华文仿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rPr>
            </w:pPr>
            <w:r>
              <w:rPr>
                <w:rFonts w:hint="eastAsia" w:ascii="宋体" w:hAnsi="宋体" w:cs="宋体"/>
                <w:color w:val="000000"/>
                <w:kern w:val="0"/>
                <w:sz w:val="28"/>
              </w:rPr>
              <w:t>830</w:t>
            </w:r>
          </w:p>
        </w:tc>
        <w:tc>
          <w:tcPr>
            <w:tcW w:w="9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8"/>
              </w:rPr>
            </w:pPr>
            <w:r>
              <w:rPr>
                <w:rFonts w:ascii="宋体" w:hAnsi="宋体" w:cs="宋体"/>
                <w:color w:val="000000"/>
                <w:kern w:val="0"/>
                <w:sz w:val="28"/>
              </w:rPr>
              <w:t>运筹学</w:t>
            </w:r>
          </w:p>
        </w:tc>
        <w:tc>
          <w:tcPr>
            <w:tcW w:w="365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 1、“管理科学与工程”专业参考书目：</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《管理运筹学》，魏晓平 宋学锋 王新宇 王桂强编，中国矿业大学出版社，2011年 第三版。</w:t>
            </w:r>
          </w:p>
          <w:p>
            <w:pPr>
              <w:widowControl/>
              <w:jc w:val="left"/>
              <w:rPr>
                <w:rFonts w:ascii="Times New Roman" w:hAnsi="Times New Roman"/>
                <w:color w:val="000000"/>
                <w:kern w:val="0"/>
                <w:sz w:val="24"/>
                <w:szCs w:val="24"/>
              </w:rPr>
            </w:pP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2、“交通运输” 专业参考书目：</w:t>
            </w:r>
          </w:p>
          <w:p>
            <w:pPr>
              <w:widowControl/>
              <w:jc w:val="left"/>
              <w:rPr>
                <w:rFonts w:ascii="Times New Roman" w:hAnsi="Times New Roman"/>
                <w:color w:val="000000"/>
                <w:kern w:val="0"/>
                <w:sz w:val="24"/>
                <w:szCs w:val="24"/>
              </w:rPr>
            </w:pPr>
            <w:r>
              <w:rPr>
                <w:rFonts w:ascii="Times New Roman" w:hAnsi="Times New Roman"/>
                <w:color w:val="000000"/>
                <w:kern w:val="0"/>
                <w:sz w:val="24"/>
                <w:szCs w:val="24"/>
              </w:rPr>
              <w:t>《运筹学基础及应用（第七版）》，胡运权，高等教育出版社，2021年3月。</w:t>
            </w:r>
          </w:p>
        </w:tc>
        <w:tc>
          <w:tcPr>
            <w:tcW w:w="6288" w:type="dxa"/>
            <w:tcBorders>
              <w:top w:val="single" w:color="auto" w:sz="4" w:space="0"/>
              <w:left w:val="single" w:color="auto" w:sz="4" w:space="0"/>
              <w:bottom w:val="single" w:color="auto" w:sz="4" w:space="0"/>
              <w:right w:val="single" w:color="auto" w:sz="4" w:space="0"/>
            </w:tcBorders>
            <w:noWrap w:val="0"/>
            <w:vAlign w:val="center"/>
          </w:tcPr>
          <w:p>
            <w:pPr>
              <w:spacing w:before="120" w:beforeLines="50"/>
              <w:ind w:left="480" w:hanging="480" w:hangingChars="200"/>
              <w:rPr>
                <w:rFonts w:ascii="Times New Roman" w:hAnsi="Times New Roman"/>
                <w:color w:val="000000"/>
                <w:kern w:val="0"/>
                <w:sz w:val="24"/>
                <w:szCs w:val="24"/>
              </w:rPr>
            </w:pPr>
            <w:r>
              <w:rPr>
                <w:rFonts w:ascii="Times New Roman" w:hAnsi="Times New Roman"/>
                <w:color w:val="000000"/>
                <w:kern w:val="0"/>
                <w:sz w:val="24"/>
                <w:szCs w:val="24"/>
              </w:rPr>
              <w:t>一、 考试目的与要求</w:t>
            </w:r>
            <w:r>
              <w:rPr>
                <w:rFonts w:ascii="Times New Roman" w:hAnsi="Times New Roman"/>
                <w:b/>
                <w:color w:val="000000"/>
                <w:kern w:val="0"/>
                <w:sz w:val="24"/>
                <w:szCs w:val="24"/>
              </w:rPr>
              <w:br w:type="textWrapping"/>
            </w:r>
            <w:r>
              <w:rPr>
                <w:rFonts w:ascii="Times New Roman" w:hAnsi="Times New Roman"/>
                <w:color w:val="000000"/>
                <w:kern w:val="0"/>
                <w:sz w:val="24"/>
                <w:szCs w:val="24"/>
              </w:rPr>
              <w:t>1. 目的</w:t>
            </w:r>
            <w:r>
              <w:rPr>
                <w:rFonts w:ascii="Times New Roman" w:hAnsi="Times New Roman"/>
                <w:color w:val="000000"/>
                <w:kern w:val="0"/>
                <w:sz w:val="24"/>
                <w:szCs w:val="24"/>
              </w:rPr>
              <w:br w:type="textWrapping"/>
            </w:r>
            <w:r>
              <w:rPr>
                <w:rFonts w:ascii="Times New Roman" w:hAnsi="Times New Roman"/>
                <w:color w:val="000000"/>
                <w:kern w:val="0"/>
                <w:sz w:val="24"/>
                <w:szCs w:val="24"/>
              </w:rPr>
              <w:t>考察考生从事科学研究的数学建模能力和科学素养。</w:t>
            </w:r>
          </w:p>
          <w:p>
            <w:pPr>
              <w:widowControl/>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2. 要求</w:t>
            </w:r>
          </w:p>
          <w:p>
            <w:pPr>
              <w:widowControl/>
              <w:ind w:firstLine="480" w:firstLineChars="200"/>
              <w:jc w:val="left"/>
              <w:rPr>
                <w:rFonts w:ascii="Times New Roman" w:hAnsi="Times New Roman"/>
                <w:color w:val="000000"/>
                <w:kern w:val="0"/>
                <w:sz w:val="24"/>
                <w:szCs w:val="24"/>
              </w:rPr>
            </w:pPr>
            <w:r>
              <w:rPr>
                <w:rFonts w:ascii="Times New Roman" w:hAnsi="Times New Roman"/>
                <w:color w:val="000000"/>
                <w:kern w:val="0"/>
                <w:sz w:val="24"/>
                <w:szCs w:val="24"/>
              </w:rPr>
              <w:t>要求考生比较系统地理解运筹学的基本理论和基本方法，掌握运筹学基本理论及应用知识，具有较为灵活地运用运筹学基本理论方法分析、求解实际问题的能力。</w:t>
            </w:r>
          </w:p>
          <w:p>
            <w:pPr>
              <w:rPr>
                <w:rFonts w:ascii="Times New Roman" w:hAnsi="Times New Roman"/>
                <w:color w:val="000000"/>
                <w:kern w:val="0"/>
                <w:sz w:val="24"/>
                <w:szCs w:val="24"/>
              </w:rPr>
            </w:pPr>
            <w:r>
              <w:rPr>
                <w:rFonts w:ascii="Times New Roman" w:hAnsi="Times New Roman"/>
                <w:color w:val="000000"/>
                <w:kern w:val="0"/>
                <w:sz w:val="24"/>
                <w:szCs w:val="24"/>
              </w:rPr>
              <w:br w:type="textWrapping"/>
            </w:r>
            <w:r>
              <w:rPr>
                <w:rFonts w:ascii="Times New Roman" w:hAnsi="Times New Roman"/>
                <w:color w:val="000000"/>
                <w:kern w:val="0"/>
                <w:sz w:val="24"/>
                <w:szCs w:val="24"/>
              </w:rPr>
              <w:t>二、考试范围</w:t>
            </w:r>
          </w:p>
          <w:p>
            <w:pPr>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考试范围包括：</w:t>
            </w:r>
          </w:p>
          <w:p>
            <w:pPr>
              <w:numPr>
                <w:ilvl w:val="0"/>
                <w:numId w:val="2"/>
              </w:numPr>
              <w:rPr>
                <w:rFonts w:ascii="Times New Roman" w:hAnsi="Times New Roman"/>
                <w:color w:val="000000"/>
                <w:kern w:val="0"/>
                <w:sz w:val="24"/>
                <w:szCs w:val="24"/>
              </w:rPr>
            </w:pPr>
            <w:r>
              <w:rPr>
                <w:rFonts w:ascii="Times New Roman" w:hAnsi="Times New Roman"/>
                <w:color w:val="000000"/>
                <w:kern w:val="0"/>
                <w:sz w:val="24"/>
                <w:szCs w:val="24"/>
              </w:rPr>
              <w:t>两个专业共同部分</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线性规划及单纯形法</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线性规划对偶理论与灵敏度分析</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运输问题及表上作业法</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整数规划及其解法</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目标规划</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动态规划的基本解法</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网络计划技术的时间参数计算，时间-费用优化</w:t>
            </w:r>
          </w:p>
          <w:p>
            <w:pPr>
              <w:numPr>
                <w:ilvl w:val="0"/>
                <w:numId w:val="3"/>
              </w:numPr>
              <w:spacing w:after="120" w:afterLines="50"/>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决策论</w:t>
            </w:r>
          </w:p>
          <w:p>
            <w:pPr>
              <w:spacing w:before="240" w:beforeLines="100"/>
              <w:ind w:left="420"/>
              <w:rPr>
                <w:rFonts w:ascii="Times New Roman" w:hAnsi="Times New Roman"/>
                <w:color w:val="000000"/>
                <w:kern w:val="0"/>
                <w:sz w:val="24"/>
                <w:szCs w:val="24"/>
              </w:rPr>
            </w:pPr>
            <w:r>
              <w:rPr>
                <w:rFonts w:ascii="Times New Roman" w:hAnsi="Times New Roman"/>
                <w:color w:val="000000"/>
                <w:kern w:val="0"/>
                <w:sz w:val="24"/>
                <w:szCs w:val="24"/>
              </w:rPr>
              <w:t>2. 两个专业选考部分</w:t>
            </w:r>
          </w:p>
          <w:p>
            <w:pPr>
              <w:ind w:left="420"/>
              <w:rPr>
                <w:rFonts w:ascii="Times New Roman" w:hAnsi="Times New Roman"/>
                <w:color w:val="000000"/>
                <w:kern w:val="0"/>
                <w:sz w:val="24"/>
                <w:szCs w:val="24"/>
              </w:rPr>
            </w:pPr>
            <w:r>
              <w:rPr>
                <w:rFonts w:ascii="Times New Roman" w:hAnsi="Times New Roman"/>
                <w:color w:val="000000"/>
                <w:kern w:val="0"/>
                <w:sz w:val="24"/>
                <w:szCs w:val="24"/>
              </w:rPr>
              <w:t>（1）管理科学与工程选考部分</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矩阵对策模型的概念及其解法</w:t>
            </w:r>
          </w:p>
          <w:p>
            <w:pPr>
              <w:ind w:left="420"/>
              <w:rPr>
                <w:rFonts w:ascii="Times New Roman" w:hAnsi="Times New Roman"/>
                <w:color w:val="000000"/>
                <w:kern w:val="0"/>
                <w:sz w:val="24"/>
                <w:szCs w:val="24"/>
              </w:rPr>
            </w:pPr>
            <w:r>
              <w:rPr>
                <w:rFonts w:ascii="Times New Roman" w:hAnsi="Times New Roman"/>
                <w:color w:val="000000"/>
                <w:kern w:val="0"/>
                <w:sz w:val="24"/>
                <w:szCs w:val="24"/>
              </w:rPr>
              <w:t>（2）交通运输专业选考部分</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图与网络分析</w:t>
            </w:r>
          </w:p>
          <w:p>
            <w:pPr>
              <w:numPr>
                <w:ilvl w:val="0"/>
                <w:numId w:val="3"/>
              </w:numPr>
              <w:ind w:left="0" w:firstLine="480" w:firstLineChars="200"/>
              <w:rPr>
                <w:rFonts w:ascii="Times New Roman" w:hAnsi="Times New Roman"/>
                <w:color w:val="000000"/>
                <w:kern w:val="0"/>
                <w:sz w:val="24"/>
                <w:szCs w:val="24"/>
              </w:rPr>
            </w:pPr>
            <w:r>
              <w:rPr>
                <w:rFonts w:ascii="Times New Roman" w:hAnsi="Times New Roman"/>
                <w:color w:val="000000"/>
                <w:kern w:val="0"/>
                <w:sz w:val="24"/>
                <w:szCs w:val="24"/>
              </w:rPr>
              <w:t>各种存贮模型及解法</w:t>
            </w:r>
          </w:p>
          <w:p>
            <w:pPr>
              <w:ind w:left="420" w:leftChars="200"/>
              <w:rPr>
                <w:rFonts w:ascii="Times New Roman" w:hAnsi="Times New Roman"/>
                <w:color w:val="000000"/>
                <w:kern w:val="0"/>
                <w:sz w:val="24"/>
                <w:szCs w:val="24"/>
              </w:rPr>
            </w:pPr>
          </w:p>
          <w:p>
            <w:pPr>
              <w:rPr>
                <w:rFonts w:ascii="Times New Roman" w:hAnsi="Times New Roman"/>
                <w:color w:val="000000"/>
                <w:kern w:val="0"/>
                <w:sz w:val="24"/>
                <w:szCs w:val="24"/>
              </w:rPr>
            </w:pPr>
            <w:r>
              <w:rPr>
                <w:rFonts w:ascii="Times New Roman" w:hAnsi="Times New Roman"/>
                <w:color w:val="000000"/>
                <w:kern w:val="0"/>
                <w:sz w:val="24"/>
                <w:szCs w:val="24"/>
              </w:rPr>
              <w:t>三、试题结构（包括考试时间，试题类型等）</w:t>
            </w:r>
          </w:p>
          <w:p>
            <w:pPr>
              <w:spacing w:after="120" w:afterLines="50"/>
              <w:ind w:firstLine="480" w:firstLineChars="200"/>
              <w:rPr>
                <w:rFonts w:ascii="Times New Roman" w:hAnsi="Times New Roman"/>
                <w:color w:val="000000"/>
                <w:kern w:val="0"/>
                <w:sz w:val="24"/>
                <w:szCs w:val="24"/>
              </w:rPr>
            </w:pPr>
            <w:r>
              <w:rPr>
                <w:rFonts w:ascii="Times New Roman" w:hAnsi="Times New Roman"/>
                <w:color w:val="000000"/>
                <w:kern w:val="0"/>
                <w:sz w:val="24"/>
                <w:szCs w:val="24"/>
              </w:rPr>
              <w:t>考试时间为180分钟，试题包括六种可能的类型：选择题、判断题、填空题、简答题、建模题、计算证明题。具体考试题型根据需要，是上述类型的某个组合（不一定涵盖所有类型）。</w:t>
            </w:r>
          </w:p>
        </w:tc>
        <w:tc>
          <w:tcPr>
            <w:tcW w:w="722" w:type="dxa"/>
            <w:noWrap w:val="0"/>
            <w:vAlign w:val="center"/>
          </w:tcPr>
          <w:p>
            <w:pPr>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5" w:type="dxa"/>
            <w:noWrap w:val="0"/>
            <w:vAlign w:val="top"/>
          </w:tcPr>
          <w:p>
            <w:pPr>
              <w:spacing w:before="240" w:beforeLines="100" w:after="240" w:afterLines="100"/>
              <w:jc w:val="center"/>
              <w:rPr>
                <w:rFonts w:ascii="仿宋" w:hAnsi="仿宋" w:eastAsia="仿宋" w:cs="仿宋"/>
                <w:bCs/>
                <w:sz w:val="28"/>
                <w:szCs w:val="28"/>
              </w:rPr>
            </w:pPr>
            <w:r>
              <w:rPr>
                <w:rFonts w:hint="eastAsia" w:ascii="仿宋" w:hAnsi="仿宋" w:eastAsia="仿宋" w:cs="仿宋"/>
                <w:bCs/>
                <w:sz w:val="28"/>
                <w:szCs w:val="28"/>
              </w:rPr>
              <w:t>832</w:t>
            </w:r>
          </w:p>
        </w:tc>
        <w:tc>
          <w:tcPr>
            <w:tcW w:w="955" w:type="dxa"/>
            <w:noWrap w:val="0"/>
            <w:vAlign w:val="top"/>
          </w:tcPr>
          <w:p>
            <w:pPr>
              <w:spacing w:before="240" w:beforeLines="100" w:after="240" w:afterLines="100"/>
              <w:jc w:val="center"/>
              <w:rPr>
                <w:rFonts w:ascii="仿宋" w:hAnsi="仿宋" w:eastAsia="仿宋" w:cs="仿宋"/>
                <w:bCs/>
                <w:color w:val="000000"/>
                <w:sz w:val="28"/>
                <w:szCs w:val="28"/>
              </w:rPr>
            </w:pPr>
            <w:r>
              <w:rPr>
                <w:rFonts w:ascii="宋体" w:hAnsi="宋体"/>
                <w:bCs/>
                <w:sz w:val="28"/>
                <w:szCs w:val="28"/>
              </w:rPr>
              <w:t>管理学</w:t>
            </w:r>
          </w:p>
        </w:tc>
        <w:tc>
          <w:tcPr>
            <w:tcW w:w="3659" w:type="dxa"/>
            <w:noWrap w:val="0"/>
            <w:vAlign w:val="top"/>
          </w:tcPr>
          <w:p>
            <w:pPr>
              <w:spacing w:before="240" w:beforeLines="100" w:after="240" w:afterLines="100"/>
              <w:rPr>
                <w:rFonts w:ascii="Times New Roman" w:hAnsi="Times New Roman" w:eastAsia="仿宋"/>
                <w:bCs/>
                <w:color w:val="000000"/>
                <w:sz w:val="24"/>
                <w:szCs w:val="24"/>
              </w:rPr>
            </w:pPr>
            <w:r>
              <w:rPr>
                <w:rFonts w:ascii="Times New Roman" w:hAnsi="Times New Roman"/>
                <w:bCs/>
                <w:sz w:val="24"/>
                <w:szCs w:val="24"/>
              </w:rPr>
              <w:t>《管理学》，《管理学》编写组（马克思主义理论研究和建设工程重点教材），高等教育出版社，2019年1月第一版</w:t>
            </w:r>
          </w:p>
        </w:tc>
        <w:tc>
          <w:tcPr>
            <w:tcW w:w="6288" w:type="dxa"/>
            <w:noWrap w:val="0"/>
            <w:vAlign w:val="top"/>
          </w:tcPr>
          <w:p>
            <w:pPr>
              <w:spacing w:before="240" w:beforeLines="100" w:after="240" w:afterLines="100"/>
              <w:rPr>
                <w:rFonts w:ascii="Times New Roman" w:hAnsi="Times New Roman"/>
                <w:bCs/>
                <w:sz w:val="24"/>
                <w:szCs w:val="24"/>
              </w:rPr>
            </w:pPr>
            <w:r>
              <w:rPr>
                <w:rFonts w:ascii="Times New Roman" w:hAnsi="Times New Roman"/>
                <w:bCs/>
                <w:sz w:val="24"/>
                <w:szCs w:val="24"/>
              </w:rPr>
              <w:t>一、考试目的与要求</w:t>
            </w:r>
          </w:p>
          <w:p>
            <w:pPr>
              <w:spacing w:before="240" w:beforeLines="100" w:after="240" w:afterLines="100" w:line="400" w:lineRule="exact"/>
              <w:ind w:firstLine="480" w:firstLineChars="200"/>
              <w:rPr>
                <w:rFonts w:ascii="Times New Roman" w:hAnsi="Times New Roman"/>
                <w:bCs/>
                <w:sz w:val="24"/>
                <w:szCs w:val="24"/>
              </w:rPr>
            </w:pPr>
            <w:r>
              <w:rPr>
                <w:rFonts w:ascii="Times New Roman" w:hAnsi="Times New Roman"/>
                <w:bCs/>
                <w:sz w:val="24"/>
                <w:szCs w:val="24"/>
              </w:rPr>
              <w:t>《管理学》是工商管理学科硕士研究生入学的初试科目。考试目的旨在选拔出具有坚实的管理学基本理论基础及对管理前沿理论知识具有一定了解，并且可以将所学的理论知识分析管理实践的优秀学生进入硕士生阶段学习。要求考生能够熟练运用辩证唯物主义和历史唯物主义观分析管理理论与管理实践之间的联系，探究管理理论的一般抽象与具体运用的关系，具有系统、批判性和创新等思维方式；能够思考作为管理对象的组织活动与组织环境的关系；分析具体情境下的管理决策问题；理论联系实际，总结中国传统文化中的管理启示并分析当前中国企业管理实践。</w:t>
            </w:r>
          </w:p>
          <w:p>
            <w:pPr>
              <w:spacing w:before="240" w:beforeLines="100" w:after="240" w:afterLines="100"/>
              <w:rPr>
                <w:rFonts w:ascii="Times New Roman" w:hAnsi="Times New Roman"/>
                <w:bCs/>
                <w:sz w:val="24"/>
                <w:szCs w:val="24"/>
              </w:rPr>
            </w:pPr>
            <w:r>
              <w:rPr>
                <w:rFonts w:ascii="Times New Roman" w:hAnsi="Times New Roman"/>
                <w:bCs/>
                <w:sz w:val="24"/>
                <w:szCs w:val="24"/>
              </w:rPr>
              <w:t>二、考试范围</w:t>
            </w:r>
          </w:p>
          <w:p>
            <w:pPr>
              <w:spacing w:before="240" w:beforeLines="100" w:after="240" w:afterLines="100" w:line="400" w:lineRule="exact"/>
              <w:rPr>
                <w:rFonts w:ascii="Times New Roman" w:hAnsi="Times New Roman"/>
                <w:bCs/>
                <w:sz w:val="24"/>
                <w:szCs w:val="24"/>
              </w:rPr>
            </w:pPr>
            <w:r>
              <w:rPr>
                <w:rFonts w:ascii="Times New Roman" w:hAnsi="Times New Roman"/>
                <w:bCs/>
                <w:sz w:val="24"/>
                <w:szCs w:val="24"/>
              </w:rPr>
              <w:t>本课程的考试范围包括：</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管理导论</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管理理论的历史演变</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决策与决策过程</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环境分析与理性决策</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决策的实施与调整</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组织设计</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人员配备</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组织文化</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领导的一般理论</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激励</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沟通</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控制的类型、过程与方法</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风险控制与危机管理</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创新原理</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组织创新</w:t>
            </w:r>
          </w:p>
          <w:p>
            <w:pPr>
              <w:numPr>
                <w:ilvl w:val="0"/>
                <w:numId w:val="3"/>
              </w:numPr>
              <w:ind w:left="0" w:firstLine="480" w:firstLineChars="200"/>
              <w:rPr>
                <w:rFonts w:ascii="Times New Roman" w:hAnsi="Times New Roman"/>
                <w:bCs/>
                <w:sz w:val="24"/>
                <w:szCs w:val="24"/>
              </w:rPr>
            </w:pPr>
            <w:r>
              <w:rPr>
                <w:rFonts w:ascii="Times New Roman" w:hAnsi="Times New Roman"/>
                <w:bCs/>
                <w:sz w:val="24"/>
                <w:szCs w:val="24"/>
              </w:rPr>
              <w:t>管理新理论与发展趋势</w:t>
            </w:r>
          </w:p>
          <w:p>
            <w:pPr>
              <w:spacing w:before="240" w:beforeLines="100" w:after="240" w:afterLines="100"/>
              <w:rPr>
                <w:rFonts w:ascii="Times New Roman" w:hAnsi="Times New Roman"/>
                <w:bCs/>
                <w:sz w:val="24"/>
                <w:szCs w:val="24"/>
              </w:rPr>
            </w:pPr>
            <w:r>
              <w:rPr>
                <w:rFonts w:ascii="Times New Roman" w:hAnsi="Times New Roman"/>
                <w:bCs/>
                <w:sz w:val="24"/>
                <w:szCs w:val="24"/>
              </w:rPr>
              <w:t>三、试题结构（包括考试时间，试题类型等）</w:t>
            </w:r>
          </w:p>
          <w:p>
            <w:pPr>
              <w:spacing w:before="240" w:beforeLines="100" w:after="240" w:afterLines="100" w:line="400" w:lineRule="exact"/>
              <w:ind w:firstLine="480" w:firstLineChars="200"/>
              <w:rPr>
                <w:rFonts w:ascii="Times New Roman" w:hAnsi="Times New Roman"/>
                <w:bCs/>
                <w:sz w:val="24"/>
                <w:szCs w:val="24"/>
              </w:rPr>
            </w:pPr>
            <w:r>
              <w:rPr>
                <w:rFonts w:ascii="Times New Roman" w:hAnsi="Times New Roman"/>
                <w:bCs/>
                <w:sz w:val="24"/>
                <w:szCs w:val="24"/>
              </w:rPr>
              <w:t>考试时间共180分钟，试题类型包括：名词解释、选择题、判断题、简答题、决策分析题、案例分析、论述题等七种备选类型。具体考试题型根据需要，为上述各类型的组合。</w:t>
            </w:r>
          </w:p>
        </w:tc>
        <w:tc>
          <w:tcPr>
            <w:tcW w:w="722" w:type="dxa"/>
            <w:noWrap w:val="0"/>
            <w:vAlign w:val="center"/>
          </w:tcPr>
          <w:p>
            <w:pPr>
              <w:jc w:val="center"/>
              <w:rPr>
                <w:rFonts w:hint="eastAsia"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1005" w:type="dxa"/>
            <w:noWrap w:val="0"/>
            <w:vAlign w:val="center"/>
          </w:tcPr>
          <w:p>
            <w:pPr>
              <w:spacing w:before="240" w:beforeLines="100" w:after="240" w:afterLines="100"/>
              <w:jc w:val="center"/>
              <w:rPr>
                <w:rFonts w:ascii="仿宋" w:hAnsi="仿宋" w:eastAsia="仿宋"/>
                <w:b/>
                <w:bCs/>
                <w:sz w:val="24"/>
                <w:szCs w:val="24"/>
              </w:rPr>
            </w:pPr>
            <w:r>
              <w:rPr>
                <w:rFonts w:ascii="仿宋" w:hAnsi="仿宋" w:eastAsia="仿宋" w:cs="仿宋"/>
                <w:bCs/>
                <w:sz w:val="28"/>
                <w:szCs w:val="28"/>
              </w:rPr>
              <w:t>884</w:t>
            </w:r>
          </w:p>
        </w:tc>
        <w:tc>
          <w:tcPr>
            <w:tcW w:w="955" w:type="dxa"/>
            <w:noWrap w:val="0"/>
            <w:vAlign w:val="center"/>
          </w:tcPr>
          <w:p>
            <w:pPr>
              <w:jc w:val="center"/>
              <w:rPr>
                <w:rFonts w:hint="eastAsia" w:ascii="宋体" w:hAnsi="宋体"/>
                <w:bCs/>
                <w:sz w:val="28"/>
                <w:szCs w:val="28"/>
              </w:rPr>
            </w:pPr>
            <w:r>
              <w:rPr>
                <w:rFonts w:hint="eastAsia" w:ascii="宋体" w:hAnsi="宋体"/>
                <w:bCs/>
                <w:sz w:val="28"/>
                <w:szCs w:val="28"/>
              </w:rPr>
              <w:t>宏观经济学</w:t>
            </w:r>
          </w:p>
        </w:tc>
        <w:tc>
          <w:tcPr>
            <w:tcW w:w="3659" w:type="dxa"/>
            <w:noWrap w:val="0"/>
            <w:vAlign w:val="center"/>
          </w:tcPr>
          <w:p>
            <w:pPr>
              <w:jc w:val="center"/>
              <w:rPr>
                <w:rFonts w:ascii="Times New Roman" w:hAnsi="Times New Roman"/>
                <w:bCs/>
                <w:sz w:val="24"/>
                <w:szCs w:val="24"/>
              </w:rPr>
            </w:pPr>
          </w:p>
          <w:p>
            <w:pPr>
              <w:jc w:val="center"/>
              <w:rPr>
                <w:rFonts w:ascii="Times New Roman" w:hAnsi="Times New Roman"/>
                <w:bCs/>
                <w:sz w:val="24"/>
                <w:szCs w:val="24"/>
              </w:rPr>
            </w:pPr>
          </w:p>
          <w:p>
            <w:pPr>
              <w:jc w:val="center"/>
              <w:rPr>
                <w:rFonts w:ascii="Times New Roman" w:hAnsi="Times New Roman"/>
                <w:bCs/>
                <w:sz w:val="24"/>
                <w:szCs w:val="24"/>
              </w:rPr>
            </w:pPr>
            <w:r>
              <w:rPr>
                <w:rFonts w:ascii="Times New Roman" w:hAnsi="Times New Roman"/>
                <w:bCs/>
                <w:sz w:val="24"/>
                <w:szCs w:val="24"/>
              </w:rPr>
              <w:t>《西方经济学》下册第2版</w:t>
            </w:r>
          </w:p>
          <w:p>
            <w:pPr>
              <w:jc w:val="center"/>
              <w:rPr>
                <w:rFonts w:ascii="Times New Roman" w:hAnsi="Times New Roman"/>
                <w:bCs/>
                <w:sz w:val="24"/>
                <w:szCs w:val="24"/>
              </w:rPr>
            </w:pPr>
            <w:r>
              <w:rPr>
                <w:rFonts w:ascii="Times New Roman" w:hAnsi="Times New Roman"/>
                <w:bCs/>
                <w:sz w:val="24"/>
                <w:szCs w:val="24"/>
              </w:rPr>
              <w:t>（马克思主义理论研究和建设工程重点教材）高等教育出版社、人民出版社。2019年</w:t>
            </w:r>
          </w:p>
          <w:p>
            <w:pPr>
              <w:jc w:val="center"/>
              <w:rPr>
                <w:rFonts w:ascii="Times New Roman" w:hAnsi="Times New Roman"/>
                <w:bCs/>
                <w:sz w:val="24"/>
                <w:szCs w:val="24"/>
              </w:rPr>
            </w:pPr>
          </w:p>
          <w:p>
            <w:pPr>
              <w:jc w:val="center"/>
              <w:rPr>
                <w:rFonts w:ascii="Times New Roman" w:hAnsi="Times New Roman"/>
                <w:bCs/>
                <w:sz w:val="24"/>
                <w:szCs w:val="24"/>
              </w:rPr>
            </w:pPr>
          </w:p>
        </w:tc>
        <w:tc>
          <w:tcPr>
            <w:tcW w:w="6288" w:type="dxa"/>
            <w:noWrap w:val="0"/>
            <w:vAlign w:val="top"/>
          </w:tcPr>
          <w:p>
            <w:pPr>
              <w:spacing w:before="240" w:beforeLines="100" w:after="240" w:afterLines="100"/>
              <w:rPr>
                <w:rFonts w:ascii="Times New Roman" w:hAnsi="Times New Roman"/>
                <w:bCs/>
                <w:sz w:val="24"/>
                <w:szCs w:val="24"/>
              </w:rPr>
            </w:pPr>
            <w:r>
              <w:rPr>
                <w:rFonts w:ascii="Times New Roman" w:hAnsi="Times New Roman"/>
                <w:bCs/>
                <w:sz w:val="24"/>
                <w:szCs w:val="24"/>
              </w:rPr>
              <w:t>一、考试目的与要求</w:t>
            </w:r>
          </w:p>
          <w:p>
            <w:pPr>
              <w:spacing w:before="240" w:beforeLines="100" w:after="240" w:afterLines="100" w:line="400" w:lineRule="exact"/>
              <w:ind w:firstLine="480" w:firstLineChars="200"/>
              <w:rPr>
                <w:rFonts w:ascii="Times New Roman" w:hAnsi="Times New Roman"/>
                <w:bCs/>
                <w:sz w:val="24"/>
                <w:szCs w:val="24"/>
              </w:rPr>
            </w:pPr>
            <w:r>
              <w:rPr>
                <w:rFonts w:ascii="Times New Roman" w:hAnsi="Times New Roman"/>
                <w:bCs/>
                <w:sz w:val="24"/>
                <w:szCs w:val="24"/>
              </w:rPr>
              <w:t>宏观经济学作为硕士入学考试科目，其目的是科学、公平、有效地测试考生掌握宏观经济学基本知识和基本理论的水平，注重考察学生应用宏观经济学理论与方法分析现实经济现象与解决经济问题的能力，以利于学院择优选拔，确保硕士研究生的招生质量。</w:t>
            </w:r>
          </w:p>
          <w:p>
            <w:pPr>
              <w:spacing w:before="240" w:beforeLines="100" w:after="240" w:afterLines="100"/>
              <w:rPr>
                <w:rFonts w:ascii="Times New Roman" w:hAnsi="Times New Roman"/>
                <w:bCs/>
                <w:sz w:val="24"/>
                <w:szCs w:val="24"/>
              </w:rPr>
            </w:pPr>
            <w:r>
              <w:rPr>
                <w:rFonts w:ascii="Times New Roman" w:hAnsi="Times New Roman"/>
                <w:bCs/>
                <w:sz w:val="24"/>
                <w:szCs w:val="24"/>
              </w:rPr>
              <w:t>二、考试范围</w:t>
            </w:r>
          </w:p>
          <w:p>
            <w:pPr>
              <w:spacing w:before="240" w:beforeLines="100" w:after="240" w:afterLines="100"/>
              <w:rPr>
                <w:rFonts w:ascii="Times New Roman" w:hAnsi="Times New Roman"/>
                <w:bCs/>
                <w:sz w:val="24"/>
                <w:szCs w:val="24"/>
              </w:rPr>
            </w:pPr>
            <w:r>
              <w:rPr>
                <w:rFonts w:ascii="Times New Roman" w:hAnsi="Times New Roman"/>
                <w:bCs/>
                <w:sz w:val="24"/>
                <w:szCs w:val="24"/>
              </w:rPr>
              <w:t>第九章 宏观经济的基本指标及其衡量</w:t>
            </w:r>
          </w:p>
          <w:p>
            <w:pPr>
              <w:spacing w:before="240" w:beforeLines="100" w:after="240" w:afterLines="100"/>
              <w:rPr>
                <w:rFonts w:ascii="Times New Roman" w:hAnsi="Times New Roman"/>
                <w:bCs/>
                <w:sz w:val="24"/>
                <w:szCs w:val="24"/>
              </w:rPr>
            </w:pPr>
            <w:r>
              <w:rPr>
                <w:rFonts w:ascii="Times New Roman" w:hAnsi="Times New Roman"/>
                <w:bCs/>
                <w:sz w:val="24"/>
                <w:szCs w:val="24"/>
              </w:rPr>
              <w:t>第十章 国民收入的决定：收入—支出模型</w:t>
            </w:r>
          </w:p>
          <w:p>
            <w:pPr>
              <w:spacing w:before="240" w:beforeLines="100" w:after="240" w:afterLines="100"/>
              <w:rPr>
                <w:rFonts w:ascii="Times New Roman" w:hAnsi="Times New Roman"/>
                <w:bCs/>
                <w:sz w:val="24"/>
                <w:szCs w:val="24"/>
              </w:rPr>
            </w:pPr>
            <w:r>
              <w:rPr>
                <w:rFonts w:ascii="Times New Roman" w:hAnsi="Times New Roman"/>
                <w:bCs/>
                <w:sz w:val="24"/>
                <w:szCs w:val="24"/>
              </w:rPr>
              <w:t>第十一章 国民收入的决定：IS-LM模型</w:t>
            </w:r>
            <w:r>
              <w:rPr>
                <w:rFonts w:ascii="Times New Roman" w:hAnsi="Times New Roman"/>
                <w:bCs/>
                <w:sz w:val="24"/>
                <w:szCs w:val="24"/>
              </w:rPr>
              <w:br w:type="textWrapping"/>
            </w:r>
            <w:r>
              <w:rPr>
                <w:rFonts w:ascii="Times New Roman" w:hAnsi="Times New Roman"/>
                <w:bCs/>
                <w:sz w:val="24"/>
                <w:szCs w:val="24"/>
              </w:rPr>
              <w:t>第十二章 国民收入的决定：AD-AS模型</w:t>
            </w:r>
            <w:r>
              <w:rPr>
                <w:rFonts w:ascii="Times New Roman" w:hAnsi="Times New Roman"/>
                <w:bCs/>
                <w:sz w:val="24"/>
                <w:szCs w:val="24"/>
              </w:rPr>
              <w:br w:type="textWrapping"/>
            </w:r>
            <w:r>
              <w:rPr>
                <w:rFonts w:ascii="Times New Roman" w:hAnsi="Times New Roman"/>
                <w:bCs/>
                <w:sz w:val="24"/>
                <w:szCs w:val="24"/>
              </w:rPr>
              <w:t>第十三章 失业、通货膨胀和经济周期</w:t>
            </w:r>
            <w:r>
              <w:rPr>
                <w:rFonts w:ascii="Times New Roman" w:hAnsi="Times New Roman"/>
                <w:bCs/>
                <w:sz w:val="24"/>
                <w:szCs w:val="24"/>
              </w:rPr>
              <w:br w:type="textWrapping"/>
            </w:r>
            <w:r>
              <w:rPr>
                <w:rFonts w:ascii="Times New Roman" w:hAnsi="Times New Roman"/>
                <w:bCs/>
                <w:sz w:val="24"/>
                <w:szCs w:val="24"/>
              </w:rPr>
              <w:t>第十四章 开放条件下的宏观经济</w:t>
            </w:r>
            <w:r>
              <w:rPr>
                <w:rFonts w:ascii="Times New Roman" w:hAnsi="Times New Roman"/>
                <w:bCs/>
                <w:sz w:val="24"/>
                <w:szCs w:val="24"/>
              </w:rPr>
              <w:br w:type="textWrapping"/>
            </w:r>
            <w:r>
              <w:rPr>
                <w:rFonts w:ascii="Times New Roman" w:hAnsi="Times New Roman"/>
                <w:bCs/>
                <w:sz w:val="24"/>
                <w:szCs w:val="24"/>
              </w:rPr>
              <w:t>第十五章 宏观经济政策</w:t>
            </w:r>
            <w:r>
              <w:rPr>
                <w:rFonts w:ascii="Times New Roman" w:hAnsi="Times New Roman"/>
                <w:bCs/>
                <w:sz w:val="24"/>
                <w:szCs w:val="24"/>
              </w:rPr>
              <w:br w:type="textWrapping"/>
            </w:r>
            <w:r>
              <w:rPr>
                <w:rFonts w:ascii="Times New Roman" w:hAnsi="Times New Roman"/>
                <w:bCs/>
                <w:sz w:val="24"/>
                <w:szCs w:val="24"/>
              </w:rPr>
              <w:t>第十六章 经济增长</w:t>
            </w:r>
          </w:p>
          <w:p>
            <w:pPr>
              <w:spacing w:before="240" w:beforeLines="100" w:after="240" w:afterLines="100"/>
              <w:rPr>
                <w:rFonts w:ascii="Times New Roman" w:hAnsi="Times New Roman"/>
                <w:bCs/>
                <w:sz w:val="24"/>
                <w:szCs w:val="24"/>
              </w:rPr>
            </w:pPr>
            <w:r>
              <w:rPr>
                <w:rFonts w:ascii="Times New Roman" w:hAnsi="Times New Roman"/>
                <w:bCs/>
                <w:sz w:val="24"/>
                <w:szCs w:val="24"/>
              </w:rPr>
              <w:t>三、试题结构（考试时间180分钟）</w:t>
            </w:r>
          </w:p>
          <w:p>
            <w:pPr>
              <w:ind w:firstLine="480" w:firstLineChars="200"/>
              <w:rPr>
                <w:rFonts w:ascii="Times New Roman" w:hAnsi="Times New Roman"/>
                <w:bCs/>
                <w:color w:val="FF0000"/>
                <w:sz w:val="24"/>
                <w:szCs w:val="24"/>
              </w:rPr>
            </w:pPr>
            <w:r>
              <w:rPr>
                <w:rFonts w:hint="eastAsia" w:ascii="Times New Roman" w:hAnsi="Times New Roman"/>
                <w:bCs/>
                <w:sz w:val="24"/>
                <w:szCs w:val="24"/>
              </w:rPr>
              <w:t>试题类型包括：名词解释、简答题、计算题、分析论述题等备选类型。 具体考试题型根据需要，为上述各类型的组合。</w:t>
            </w:r>
          </w:p>
        </w:tc>
        <w:tc>
          <w:tcPr>
            <w:tcW w:w="722" w:type="dxa"/>
            <w:noWrap w:val="0"/>
            <w:vAlign w:val="center"/>
          </w:tcPr>
          <w:p>
            <w:pPr>
              <w:jc w:val="center"/>
              <w:rPr>
                <w:rFonts w:hint="eastAsia" w:ascii="宋体" w:hAnsi="宋体"/>
                <w:bCs/>
                <w:sz w:val="28"/>
                <w:szCs w:val="28"/>
              </w:rPr>
            </w:pPr>
          </w:p>
        </w:tc>
      </w:tr>
    </w:tbl>
    <w:p>
      <w:pPr>
        <w:spacing w:line="360" w:lineRule="exact"/>
        <w:ind w:left="840" w:leftChars="100" w:right="223" w:rightChars="106" w:hanging="630" w:hangingChars="300"/>
        <w:rPr>
          <w:rFonts w:hint="eastAsia" w:ascii="宋体" w:hAnsi="宋体"/>
          <w:color w:val="000000"/>
          <w:szCs w:val="21"/>
        </w:rPr>
      </w:pPr>
      <w:r>
        <w:rPr>
          <w:rFonts w:hint="eastAsia" w:ascii="宋体" w:hAnsi="宋体"/>
          <w:bCs/>
          <w:color w:val="000000"/>
          <w:szCs w:val="21"/>
        </w:rPr>
        <w:t>要求：1.</w:t>
      </w:r>
      <w:r>
        <w:rPr>
          <w:rFonts w:hint="eastAsia" w:ascii="宋体" w:hAnsi="宋体"/>
          <w:color w:val="000000"/>
          <w:szCs w:val="21"/>
        </w:rPr>
        <w:t>参考书目应尽量考虑通用性和出版时间（出版时间不宜太早，以方便考生购买）；非正式出版物以及正在出版过程中的书不能作参考书；参考书应注明书名、编著者、出版社、出版年份等。如：《</w:t>
      </w:r>
      <w:bookmarkStart w:id="0" w:name="OLE_LINK1"/>
      <w:r>
        <w:rPr>
          <w:rFonts w:hint="eastAsia" w:ascii="宋体" w:hAnsi="宋体"/>
          <w:color w:val="000000"/>
          <w:szCs w:val="21"/>
        </w:rPr>
        <w:t>高级英语</w:t>
      </w:r>
      <w:bookmarkEnd w:id="0"/>
      <w:r>
        <w:rPr>
          <w:rFonts w:hint="eastAsia" w:ascii="宋体" w:hAnsi="宋体"/>
          <w:color w:val="000000"/>
          <w:szCs w:val="21"/>
        </w:rPr>
        <w:t>》（修订版）第１、２册，张汉熙主编，外国教学与研究出版社，２０００年；</w:t>
      </w:r>
    </w:p>
    <w:p>
      <w:pPr>
        <w:spacing w:line="360" w:lineRule="exact"/>
        <w:ind w:left="840" w:leftChars="100" w:right="223" w:rightChars="106" w:hanging="630" w:hangingChars="300"/>
      </w:pPr>
      <w:r>
        <w:rPr>
          <w:rFonts w:hint="eastAsia" w:ascii="宋体" w:hAnsi="宋体"/>
          <w:color w:val="000000"/>
          <w:szCs w:val="21"/>
        </w:rPr>
        <w:t xml:space="preserve">      2.不允许使用计算器；绘图及其他科目考试时如有其他说明的请在“备注”栏内标明。</w:t>
      </w:r>
    </w:p>
    <w:sectPr>
      <w:pgSz w:w="16838" w:h="11906" w:orient="landscape"/>
      <w:pgMar w:top="1361" w:right="1718" w:bottom="1361"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F7A7C"/>
    <w:multiLevelType w:val="multilevel"/>
    <w:tmpl w:val="058F7A7C"/>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39716C5C"/>
    <w:multiLevelType w:val="multilevel"/>
    <w:tmpl w:val="39716C5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ED403B4"/>
    <w:multiLevelType w:val="multilevel"/>
    <w:tmpl w:val="6ED403B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52"/>
    <w:rsid w:val="00015AE9"/>
    <w:rsid w:val="0002217C"/>
    <w:rsid w:val="00054B1D"/>
    <w:rsid w:val="000D5418"/>
    <w:rsid w:val="001327FC"/>
    <w:rsid w:val="0016501F"/>
    <w:rsid w:val="001D346B"/>
    <w:rsid w:val="00211625"/>
    <w:rsid w:val="00295407"/>
    <w:rsid w:val="002A70D3"/>
    <w:rsid w:val="002C21D7"/>
    <w:rsid w:val="00322898"/>
    <w:rsid w:val="00331495"/>
    <w:rsid w:val="00361983"/>
    <w:rsid w:val="00386114"/>
    <w:rsid w:val="003E6DE7"/>
    <w:rsid w:val="004101DC"/>
    <w:rsid w:val="00413A8D"/>
    <w:rsid w:val="004704D6"/>
    <w:rsid w:val="004A175A"/>
    <w:rsid w:val="004F1E98"/>
    <w:rsid w:val="00526151"/>
    <w:rsid w:val="005A3269"/>
    <w:rsid w:val="005B6DA5"/>
    <w:rsid w:val="005F41B0"/>
    <w:rsid w:val="00684D42"/>
    <w:rsid w:val="006A5659"/>
    <w:rsid w:val="006C36CF"/>
    <w:rsid w:val="006E39FF"/>
    <w:rsid w:val="007202E2"/>
    <w:rsid w:val="00722BF0"/>
    <w:rsid w:val="00760675"/>
    <w:rsid w:val="00797EF6"/>
    <w:rsid w:val="00813087"/>
    <w:rsid w:val="00820051"/>
    <w:rsid w:val="00831A82"/>
    <w:rsid w:val="00846A60"/>
    <w:rsid w:val="008911A8"/>
    <w:rsid w:val="00894407"/>
    <w:rsid w:val="00905EB3"/>
    <w:rsid w:val="00906056"/>
    <w:rsid w:val="009B363B"/>
    <w:rsid w:val="009B55AE"/>
    <w:rsid w:val="009C14AC"/>
    <w:rsid w:val="00A02732"/>
    <w:rsid w:val="00A1485B"/>
    <w:rsid w:val="00A83203"/>
    <w:rsid w:val="00BD3D98"/>
    <w:rsid w:val="00C120F8"/>
    <w:rsid w:val="00C7046B"/>
    <w:rsid w:val="00CA64EC"/>
    <w:rsid w:val="00CB2D52"/>
    <w:rsid w:val="00CB71B2"/>
    <w:rsid w:val="00CD621D"/>
    <w:rsid w:val="00D0069A"/>
    <w:rsid w:val="00D0276E"/>
    <w:rsid w:val="00D049C1"/>
    <w:rsid w:val="00E00B2D"/>
    <w:rsid w:val="00E24850"/>
    <w:rsid w:val="00E27F95"/>
    <w:rsid w:val="00E921B6"/>
    <w:rsid w:val="00EA6F8C"/>
    <w:rsid w:val="00EB0B30"/>
    <w:rsid w:val="00EE36A1"/>
    <w:rsid w:val="00F01320"/>
    <w:rsid w:val="00F051B0"/>
    <w:rsid w:val="03452139"/>
    <w:rsid w:val="20E8061E"/>
    <w:rsid w:val="242D6025"/>
    <w:rsid w:val="2DD063FB"/>
    <w:rsid w:val="3E9C64EA"/>
    <w:rsid w:val="3FBA696D"/>
    <w:rsid w:val="4B06552D"/>
    <w:rsid w:val="56AE45AF"/>
    <w:rsid w:val="7CCE34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uiPriority w:val="99"/>
    <w:rPr>
      <w:kern w:val="2"/>
      <w:sz w:val="18"/>
      <w:szCs w:val="18"/>
    </w:rPr>
  </w:style>
  <w:style w:type="character" w:customStyle="1" w:styleId="8">
    <w:name w:val="页眉 Char"/>
    <w:link w:val="4"/>
    <w:semiHidden/>
    <w:uiPriority w:val="99"/>
    <w:rPr>
      <w:kern w:val="2"/>
      <w:sz w:val="18"/>
      <w:szCs w:val="18"/>
    </w:rPr>
  </w:style>
  <w:style w:type="character" w:customStyle="1" w:styleId="9">
    <w:name w:val="批注框文本 Char"/>
    <w:link w:val="2"/>
    <w:semiHidden/>
    <w:uiPriority w:val="99"/>
    <w:rPr>
      <w:kern w:val="2"/>
      <w:sz w:val="18"/>
      <w:szCs w:val="18"/>
    </w:rPr>
  </w:style>
  <w:style w:type="paragraph" w:customStyle="1" w:styleId="10">
    <w:name w:val="_Style 21"/>
    <w:basedOn w:val="1"/>
    <w:next w:val="11"/>
    <w:qFormat/>
    <w:uiPriority w:val="34"/>
    <w:pPr>
      <w:ind w:firstLine="420" w:firstLineChars="200"/>
    </w:p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342</Words>
  <Characters>1956</Characters>
  <Lines>16</Lines>
  <Paragraphs>4</Paragraphs>
  <TotalTime>0</TotalTime>
  <ScaleCrop>false</ScaleCrop>
  <LinksUpToDate>false</LinksUpToDate>
  <CharactersWithSpaces>2294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2022-09-13T07:36:00Z</dcterms:created>
  <dc:creator>cumt_rhb@163.com</dc:creator>
  <cp:lastModifiedBy>vertesyuan</cp:lastModifiedBy>
  <cp:lastPrinted>2019-09-10T09:09:00Z</cp:lastPrinted>
  <dcterms:modified xsi:type="dcterms:W3CDTF">2022-10-09T07:05:43Z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077B2FF16F8644B285F8F7D408EC9B22</vt:lpwstr>
  </property>
</Properties>
</file>