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02" w:rsidRDefault="00C9011B">
      <w:pPr>
        <w:spacing w:line="360" w:lineRule="auto"/>
        <w:rPr>
          <w:rFonts w:ascii="仿宋" w:eastAsia="仿宋" w:hAnsi="仿宋"/>
          <w:color w:val="252525"/>
          <w:sz w:val="28"/>
          <w:szCs w:val="28"/>
        </w:rPr>
      </w:pPr>
      <w:r>
        <w:rPr>
          <w:rFonts w:ascii="仿宋" w:eastAsia="仿宋" w:hAnsi="仿宋" w:hint="eastAsia"/>
          <w:color w:val="252525"/>
          <w:sz w:val="28"/>
          <w:szCs w:val="28"/>
        </w:rPr>
        <w:t>附件3：</w:t>
      </w:r>
    </w:p>
    <w:p w:rsidR="00776B02" w:rsidRDefault="00C9011B">
      <w:pPr>
        <w:spacing w:line="360" w:lineRule="auto"/>
        <w:jc w:val="center"/>
        <w:rPr>
          <w:rFonts w:ascii="黑体" w:eastAsia="黑体" w:hAnsi="黑体"/>
          <w:b/>
          <w:color w:val="252525"/>
          <w:sz w:val="36"/>
          <w:szCs w:val="36"/>
        </w:rPr>
      </w:pPr>
      <w:r>
        <w:rPr>
          <w:rFonts w:ascii="黑体" w:eastAsia="黑体" w:hAnsi="黑体" w:hint="eastAsia"/>
          <w:b/>
          <w:color w:val="252525"/>
          <w:sz w:val="36"/>
          <w:szCs w:val="36"/>
        </w:rPr>
        <w:t>西安石油大学</w:t>
      </w:r>
      <w:r w:rsidR="00B7347F">
        <w:rPr>
          <w:rFonts w:ascii="黑体" w:eastAsia="黑体" w:hAnsi="黑体" w:hint="eastAsia"/>
          <w:b/>
          <w:color w:val="252525"/>
          <w:sz w:val="36"/>
          <w:szCs w:val="36"/>
        </w:rPr>
        <w:t>2023</w:t>
      </w:r>
      <w:r>
        <w:rPr>
          <w:rFonts w:ascii="黑体" w:eastAsia="黑体" w:hAnsi="黑体" w:hint="eastAsia"/>
          <w:b/>
          <w:color w:val="252525"/>
          <w:sz w:val="36"/>
          <w:szCs w:val="36"/>
        </w:rPr>
        <w:t>年硕士研究生</w:t>
      </w:r>
      <w:r>
        <w:rPr>
          <w:rFonts w:ascii="黑体" w:eastAsia="黑体" w:hAnsi="黑体"/>
          <w:b/>
          <w:color w:val="252525"/>
          <w:sz w:val="36"/>
          <w:szCs w:val="36"/>
        </w:rPr>
        <w:t>招生</w:t>
      </w:r>
      <w:r>
        <w:rPr>
          <w:rFonts w:ascii="黑体" w:eastAsia="黑体" w:hAnsi="黑体" w:hint="eastAsia"/>
          <w:b/>
          <w:color w:val="252525"/>
          <w:sz w:val="36"/>
          <w:szCs w:val="36"/>
        </w:rPr>
        <w:t>考试</w:t>
      </w:r>
    </w:p>
    <w:p w:rsidR="00776B02" w:rsidRDefault="00AA7AD1">
      <w:pPr>
        <w:spacing w:line="360" w:lineRule="auto"/>
        <w:jc w:val="center"/>
        <w:rPr>
          <w:rFonts w:ascii="黑体" w:eastAsia="黑体" w:hAnsi="黑体"/>
          <w:b/>
          <w:color w:val="252525"/>
          <w:sz w:val="36"/>
          <w:szCs w:val="36"/>
          <w:u w:val="single"/>
        </w:rPr>
      </w:pPr>
      <w:r w:rsidRPr="004E6982">
        <w:rPr>
          <w:rFonts w:ascii="黑体" w:eastAsia="黑体" w:hAnsi="黑体" w:hint="eastAsia"/>
          <w:b/>
          <w:color w:val="252525"/>
          <w:sz w:val="36"/>
          <w:szCs w:val="36"/>
          <w:u w:val="single"/>
        </w:rPr>
        <w:t xml:space="preserve">831 </w:t>
      </w:r>
      <w:r>
        <w:rPr>
          <w:rFonts w:ascii="黑体" w:eastAsia="黑体" w:hAnsi="黑体" w:hint="eastAsia"/>
          <w:b/>
          <w:color w:val="252525"/>
          <w:sz w:val="36"/>
          <w:szCs w:val="36"/>
          <w:u w:val="single"/>
        </w:rPr>
        <w:t>经济学（含微观经济学与宏观经济学</w:t>
      </w:r>
      <w:r w:rsidR="00631961">
        <w:rPr>
          <w:rFonts w:ascii="黑体" w:eastAsia="黑体" w:hAnsi="黑体"/>
          <w:b/>
          <w:color w:val="252525"/>
          <w:sz w:val="36"/>
          <w:szCs w:val="36"/>
          <w:u w:val="single"/>
        </w:rPr>
        <w:t>）</w:t>
      </w:r>
      <w:r w:rsidR="00C9011B">
        <w:rPr>
          <w:rFonts w:ascii="黑体" w:eastAsia="黑体" w:hAnsi="黑体" w:hint="eastAsia"/>
          <w:b/>
          <w:color w:val="333333"/>
          <w:sz w:val="36"/>
          <w:szCs w:val="36"/>
        </w:rPr>
        <w:t>考试大纲</w:t>
      </w:r>
    </w:p>
    <w:p w:rsidR="00776B02" w:rsidRDefault="00C9011B" w:rsidP="00B7347F">
      <w:pPr>
        <w:spacing w:beforeLines="100"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一、考察目标</w:t>
      </w:r>
    </w:p>
    <w:p w:rsidR="00AA7AD1" w:rsidRPr="004E6982" w:rsidRDefault="00AA7AD1" w:rsidP="00AA7AD1">
      <w:pPr>
        <w:spacing w:line="360" w:lineRule="auto"/>
        <w:ind w:firstLineChars="150" w:firstLine="450"/>
        <w:rPr>
          <w:rFonts w:ascii="仿宋" w:eastAsia="仿宋" w:hAnsi="仿宋"/>
          <w:b/>
          <w:sz w:val="30"/>
          <w:szCs w:val="30"/>
        </w:rPr>
      </w:pPr>
      <w:r w:rsidRPr="004E6982">
        <w:rPr>
          <w:rFonts w:ascii="仿宋" w:eastAsia="仿宋" w:hAnsi="仿宋" w:hint="eastAsia"/>
          <w:sz w:val="30"/>
          <w:szCs w:val="30"/>
        </w:rPr>
        <w:t>“经济学（含微观经济学与宏观经济学）”入学考试是为招收应用经济学硕士生而实施的选拔性考试。</w:t>
      </w:r>
      <w:r w:rsidRPr="004E6982">
        <w:rPr>
          <w:rFonts w:ascii="仿宋" w:eastAsia="仿宋" w:hAnsi="仿宋"/>
          <w:sz w:val="30"/>
          <w:szCs w:val="30"/>
        </w:rPr>
        <w:t>其主要目的是考查考生对</w:t>
      </w:r>
      <w:r w:rsidRPr="004E6982">
        <w:rPr>
          <w:rFonts w:ascii="仿宋" w:eastAsia="仿宋" w:hAnsi="仿宋" w:hint="eastAsia"/>
          <w:sz w:val="30"/>
          <w:szCs w:val="30"/>
        </w:rPr>
        <w:t>微观经济学和宏观经济学</w:t>
      </w:r>
      <w:r w:rsidRPr="004E6982">
        <w:rPr>
          <w:rFonts w:ascii="仿宋" w:eastAsia="仿宋" w:hAnsi="仿宋"/>
          <w:sz w:val="30"/>
          <w:szCs w:val="30"/>
        </w:rPr>
        <w:t>各项内容的理解和掌握的程度。</w:t>
      </w:r>
      <w:r w:rsidRPr="004E6982">
        <w:rPr>
          <w:rFonts w:ascii="仿宋" w:eastAsia="仿宋" w:hAnsi="仿宋" w:hint="eastAsia"/>
          <w:sz w:val="30"/>
          <w:szCs w:val="30"/>
        </w:rPr>
        <w:t>要求考生能够系统地掌握微观经济学和宏观经济学的基本知识，并具备运用所学的知识分析现实经济问题和解决问题的能力。</w:t>
      </w:r>
    </w:p>
    <w:p w:rsidR="00776B02" w:rsidRDefault="00C9011B" w:rsidP="00B7347F">
      <w:pPr>
        <w:spacing w:beforeLines="50"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二、考试主要内容</w:t>
      </w:r>
    </w:p>
    <w:p w:rsidR="00AA7AD1" w:rsidRPr="00AA7AD1" w:rsidRDefault="00AA7AD1" w:rsidP="00AA7AD1">
      <w:pPr>
        <w:spacing w:line="360" w:lineRule="auto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微观经济学部分：</w:t>
      </w:r>
    </w:p>
    <w:p w:rsidR="00AA7AD1" w:rsidRPr="00AA7AD1" w:rsidRDefault="00AA7AD1" w:rsidP="00AA7AD1">
      <w:pPr>
        <w:spacing w:line="360" w:lineRule="auto"/>
        <w:outlineLvl w:val="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第一部分绪论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1</w:t>
      </w:r>
      <w:r w:rsidRPr="00AA7AD1">
        <w:rPr>
          <w:rFonts w:eastAsia="仿宋"/>
          <w:sz w:val="30"/>
          <w:szCs w:val="30"/>
        </w:rPr>
        <w:t>、经济学的产生和发展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2</w:t>
      </w:r>
      <w:r w:rsidRPr="00AA7AD1">
        <w:rPr>
          <w:rFonts w:eastAsia="仿宋"/>
          <w:sz w:val="30"/>
          <w:szCs w:val="30"/>
        </w:rPr>
        <w:t>、经济学的研究对象和主要内容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3</w:t>
      </w:r>
      <w:r w:rsidRPr="00AA7AD1">
        <w:rPr>
          <w:rFonts w:eastAsia="仿宋"/>
          <w:sz w:val="30"/>
          <w:szCs w:val="30"/>
        </w:rPr>
        <w:t>、经济学的研究方法</w:t>
      </w:r>
    </w:p>
    <w:p w:rsidR="00AA7AD1" w:rsidRPr="00AA7AD1" w:rsidRDefault="00AA7AD1" w:rsidP="00AA7AD1">
      <w:pPr>
        <w:spacing w:line="360" w:lineRule="auto"/>
        <w:outlineLvl w:val="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第二部分均衡价格理论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1</w:t>
      </w:r>
      <w:r w:rsidRPr="00AA7AD1">
        <w:rPr>
          <w:rFonts w:eastAsia="仿宋"/>
          <w:sz w:val="30"/>
          <w:szCs w:val="30"/>
        </w:rPr>
        <w:t>、需求原理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2</w:t>
      </w:r>
      <w:r w:rsidRPr="00AA7AD1">
        <w:rPr>
          <w:rFonts w:eastAsia="仿宋"/>
          <w:sz w:val="30"/>
          <w:szCs w:val="30"/>
        </w:rPr>
        <w:t>、供给原理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3</w:t>
      </w:r>
      <w:r w:rsidRPr="00AA7AD1">
        <w:rPr>
          <w:rFonts w:eastAsia="仿宋"/>
          <w:sz w:val="30"/>
          <w:szCs w:val="30"/>
        </w:rPr>
        <w:t>、供求均衡</w:t>
      </w:r>
      <w:r w:rsidRPr="00AA7AD1">
        <w:rPr>
          <w:rFonts w:eastAsia="仿宋"/>
          <w:sz w:val="30"/>
          <w:szCs w:val="30"/>
        </w:rPr>
        <w:t>——</w:t>
      </w:r>
      <w:r w:rsidRPr="00AA7AD1">
        <w:rPr>
          <w:rFonts w:eastAsia="仿宋"/>
          <w:sz w:val="30"/>
          <w:szCs w:val="30"/>
        </w:rPr>
        <w:t>价格的决定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4</w:t>
      </w:r>
      <w:r w:rsidRPr="00AA7AD1">
        <w:rPr>
          <w:rFonts w:eastAsia="仿宋"/>
          <w:sz w:val="30"/>
          <w:szCs w:val="30"/>
        </w:rPr>
        <w:t>、弹性理论</w:t>
      </w:r>
    </w:p>
    <w:p w:rsidR="00AA7AD1" w:rsidRPr="00AA7AD1" w:rsidRDefault="00AA7AD1" w:rsidP="00AA7AD1">
      <w:pPr>
        <w:spacing w:line="360" w:lineRule="auto"/>
        <w:outlineLvl w:val="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第三部分消费者行为理论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lastRenderedPageBreak/>
        <w:t>1</w:t>
      </w:r>
      <w:r w:rsidRPr="00AA7AD1">
        <w:rPr>
          <w:rFonts w:eastAsia="仿宋"/>
          <w:sz w:val="30"/>
          <w:szCs w:val="30"/>
        </w:rPr>
        <w:t>、消费者行为及其目标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2</w:t>
      </w:r>
      <w:r w:rsidRPr="00AA7AD1">
        <w:rPr>
          <w:rFonts w:eastAsia="仿宋"/>
          <w:sz w:val="30"/>
          <w:szCs w:val="30"/>
        </w:rPr>
        <w:t>、边际效用分析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3</w:t>
      </w:r>
      <w:r w:rsidRPr="00AA7AD1">
        <w:rPr>
          <w:rFonts w:eastAsia="仿宋"/>
          <w:sz w:val="30"/>
          <w:szCs w:val="30"/>
        </w:rPr>
        <w:t>、无差异曲线分析</w:t>
      </w:r>
    </w:p>
    <w:p w:rsidR="00AA7AD1" w:rsidRPr="00AA7AD1" w:rsidRDefault="00AA7AD1" w:rsidP="00AA7AD1">
      <w:pPr>
        <w:spacing w:line="360" w:lineRule="auto"/>
        <w:outlineLvl w:val="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第四部分生产者行为理论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1</w:t>
      </w:r>
      <w:r w:rsidRPr="00AA7AD1">
        <w:rPr>
          <w:rFonts w:eastAsia="仿宋"/>
          <w:sz w:val="30"/>
          <w:szCs w:val="30"/>
        </w:rPr>
        <w:t>、生产者行为及其目标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2</w:t>
      </w:r>
      <w:r w:rsidRPr="00AA7AD1">
        <w:rPr>
          <w:rFonts w:eastAsia="仿宋"/>
          <w:sz w:val="30"/>
          <w:szCs w:val="30"/>
        </w:rPr>
        <w:t>、生产理论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3</w:t>
      </w:r>
      <w:r w:rsidRPr="00AA7AD1">
        <w:rPr>
          <w:rFonts w:eastAsia="仿宋"/>
          <w:sz w:val="30"/>
          <w:szCs w:val="30"/>
        </w:rPr>
        <w:t>、成本理论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4</w:t>
      </w:r>
      <w:r w:rsidRPr="00AA7AD1">
        <w:rPr>
          <w:rFonts w:eastAsia="仿宋"/>
          <w:sz w:val="30"/>
          <w:szCs w:val="30"/>
        </w:rPr>
        <w:t>、利润最大化原则</w:t>
      </w:r>
    </w:p>
    <w:p w:rsidR="00AA7AD1" w:rsidRPr="00AA7AD1" w:rsidRDefault="00AA7AD1" w:rsidP="00AA7AD1">
      <w:pPr>
        <w:spacing w:line="360" w:lineRule="auto"/>
        <w:outlineLvl w:val="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第五部分市场结构理论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1</w:t>
      </w:r>
      <w:r w:rsidRPr="00AA7AD1">
        <w:rPr>
          <w:rFonts w:eastAsia="仿宋"/>
          <w:sz w:val="30"/>
          <w:szCs w:val="30"/>
        </w:rPr>
        <w:t>、市场结构及其划分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2</w:t>
      </w:r>
      <w:r w:rsidRPr="00AA7AD1">
        <w:rPr>
          <w:rFonts w:eastAsia="仿宋"/>
          <w:sz w:val="30"/>
          <w:szCs w:val="30"/>
        </w:rPr>
        <w:t>、完全竞争市场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3</w:t>
      </w:r>
      <w:r w:rsidRPr="00AA7AD1">
        <w:rPr>
          <w:rFonts w:eastAsia="仿宋"/>
          <w:sz w:val="30"/>
          <w:szCs w:val="30"/>
        </w:rPr>
        <w:t>、完全垄断市场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4</w:t>
      </w:r>
      <w:r w:rsidRPr="00AA7AD1">
        <w:rPr>
          <w:rFonts w:eastAsia="仿宋"/>
          <w:sz w:val="30"/>
          <w:szCs w:val="30"/>
        </w:rPr>
        <w:t>、垄断竞争市场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5</w:t>
      </w:r>
      <w:r w:rsidRPr="00AA7AD1">
        <w:rPr>
          <w:rFonts w:eastAsia="仿宋"/>
          <w:sz w:val="30"/>
          <w:szCs w:val="30"/>
        </w:rPr>
        <w:t>、寡头垄断市场</w:t>
      </w:r>
    </w:p>
    <w:p w:rsidR="00AA7AD1" w:rsidRPr="00AA7AD1" w:rsidRDefault="00AA7AD1" w:rsidP="00AA7AD1">
      <w:pPr>
        <w:spacing w:line="360" w:lineRule="auto"/>
        <w:outlineLvl w:val="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第六部分要素价格理论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1</w:t>
      </w:r>
      <w:r w:rsidRPr="00AA7AD1">
        <w:rPr>
          <w:rFonts w:eastAsia="仿宋"/>
          <w:sz w:val="30"/>
          <w:szCs w:val="30"/>
        </w:rPr>
        <w:t>、要素价格决定的一般原理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2</w:t>
      </w:r>
      <w:r w:rsidRPr="00AA7AD1">
        <w:rPr>
          <w:rFonts w:eastAsia="仿宋"/>
          <w:sz w:val="30"/>
          <w:szCs w:val="30"/>
        </w:rPr>
        <w:t>、生产要素的价格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3</w:t>
      </w:r>
      <w:r w:rsidRPr="00AA7AD1">
        <w:rPr>
          <w:rFonts w:eastAsia="仿宋"/>
          <w:sz w:val="30"/>
          <w:szCs w:val="30"/>
        </w:rPr>
        <w:t>、收入分配的结果</w:t>
      </w:r>
    </w:p>
    <w:p w:rsidR="00AA7AD1" w:rsidRPr="00AA7AD1" w:rsidRDefault="00AA7AD1" w:rsidP="00AA7AD1">
      <w:pPr>
        <w:spacing w:line="360" w:lineRule="auto"/>
        <w:outlineLvl w:val="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第七部分市场失灵与微观经济政策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1</w:t>
      </w:r>
      <w:r w:rsidRPr="00AA7AD1">
        <w:rPr>
          <w:rFonts w:eastAsia="仿宋"/>
          <w:sz w:val="30"/>
          <w:szCs w:val="30"/>
        </w:rPr>
        <w:t>、市场失灵与政府失灵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2</w:t>
      </w:r>
      <w:r w:rsidRPr="00AA7AD1">
        <w:rPr>
          <w:rFonts w:eastAsia="仿宋"/>
          <w:sz w:val="30"/>
          <w:szCs w:val="30"/>
        </w:rPr>
        <w:t>、垄断及其低效率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3</w:t>
      </w:r>
      <w:r w:rsidRPr="00AA7AD1">
        <w:rPr>
          <w:rFonts w:eastAsia="仿宋"/>
          <w:sz w:val="30"/>
          <w:szCs w:val="30"/>
        </w:rPr>
        <w:t>、外部性及其纠正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lastRenderedPageBreak/>
        <w:t>4</w:t>
      </w:r>
      <w:r w:rsidRPr="00AA7AD1">
        <w:rPr>
          <w:rFonts w:eastAsia="仿宋"/>
          <w:sz w:val="30"/>
          <w:szCs w:val="30"/>
        </w:rPr>
        <w:t>、公共产品与公共选择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5</w:t>
      </w:r>
      <w:r w:rsidRPr="00AA7AD1">
        <w:rPr>
          <w:rFonts w:eastAsia="仿宋"/>
          <w:sz w:val="30"/>
          <w:szCs w:val="30"/>
        </w:rPr>
        <w:t>、不完全信息与激励理论</w:t>
      </w:r>
    </w:p>
    <w:p w:rsidR="00AA7AD1" w:rsidRPr="00AA7AD1" w:rsidRDefault="00AA7AD1" w:rsidP="00B7347F">
      <w:pPr>
        <w:tabs>
          <w:tab w:val="left" w:pos="900"/>
        </w:tabs>
        <w:spacing w:beforeLines="100" w:afterLines="50" w:line="360" w:lineRule="auto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宏观经济学部分：</w:t>
      </w:r>
    </w:p>
    <w:p w:rsidR="00AA7AD1" w:rsidRPr="00AA7AD1" w:rsidRDefault="00AA7AD1" w:rsidP="00AA7AD1">
      <w:pPr>
        <w:tabs>
          <w:tab w:val="left" w:pos="900"/>
        </w:tabs>
        <w:spacing w:line="360" w:lineRule="auto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第一部分国民收入核算理论</w:t>
      </w:r>
    </w:p>
    <w:p w:rsidR="00AA7AD1" w:rsidRPr="00AA7AD1" w:rsidRDefault="00AA7AD1" w:rsidP="00AA7AD1">
      <w:pPr>
        <w:tabs>
          <w:tab w:val="left" w:pos="900"/>
        </w:tabs>
        <w:spacing w:line="360" w:lineRule="auto"/>
        <w:ind w:firstLineChars="150" w:firstLine="45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1</w:t>
      </w:r>
      <w:r w:rsidRPr="00AA7AD1">
        <w:rPr>
          <w:rFonts w:eastAsia="仿宋"/>
          <w:sz w:val="30"/>
          <w:szCs w:val="30"/>
        </w:rPr>
        <w:t>、</w:t>
      </w:r>
      <w:r w:rsidRPr="00AA7AD1">
        <w:rPr>
          <w:rFonts w:eastAsia="仿宋"/>
          <w:sz w:val="30"/>
          <w:szCs w:val="30"/>
        </w:rPr>
        <w:t>GDP</w:t>
      </w:r>
      <w:r w:rsidRPr="00AA7AD1">
        <w:rPr>
          <w:rFonts w:eastAsia="仿宋"/>
          <w:sz w:val="30"/>
          <w:szCs w:val="30"/>
        </w:rPr>
        <w:t>及其核算方法</w:t>
      </w:r>
    </w:p>
    <w:p w:rsidR="00AA7AD1" w:rsidRPr="00AA7AD1" w:rsidRDefault="00AA7AD1" w:rsidP="00AA7AD1">
      <w:pPr>
        <w:tabs>
          <w:tab w:val="left" w:pos="900"/>
        </w:tabs>
        <w:spacing w:line="360" w:lineRule="auto"/>
        <w:ind w:firstLineChars="150" w:firstLine="45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2</w:t>
      </w:r>
      <w:r w:rsidRPr="00AA7AD1">
        <w:rPr>
          <w:rFonts w:eastAsia="仿宋"/>
          <w:sz w:val="30"/>
          <w:szCs w:val="30"/>
        </w:rPr>
        <w:t>、国民经济中的其他总量指标</w:t>
      </w:r>
    </w:p>
    <w:p w:rsidR="00AA7AD1" w:rsidRPr="00AA7AD1" w:rsidRDefault="00AA7AD1" w:rsidP="00AA7AD1">
      <w:pPr>
        <w:tabs>
          <w:tab w:val="left" w:pos="900"/>
        </w:tabs>
        <w:spacing w:line="360" w:lineRule="auto"/>
        <w:ind w:firstLineChars="150" w:firstLine="45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3</w:t>
      </w:r>
      <w:r w:rsidRPr="00AA7AD1">
        <w:rPr>
          <w:rFonts w:eastAsia="仿宋"/>
          <w:sz w:val="30"/>
          <w:szCs w:val="30"/>
        </w:rPr>
        <w:t>、</w:t>
      </w:r>
      <w:r w:rsidRPr="00AA7AD1">
        <w:rPr>
          <w:rFonts w:eastAsia="仿宋"/>
          <w:sz w:val="30"/>
          <w:szCs w:val="30"/>
        </w:rPr>
        <w:t>GDP</w:t>
      </w:r>
      <w:r w:rsidRPr="00AA7AD1">
        <w:rPr>
          <w:rFonts w:eastAsia="仿宋"/>
          <w:sz w:val="30"/>
          <w:szCs w:val="30"/>
        </w:rPr>
        <w:t>核算的局限性及其纠正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第二部分简单国民收入决定理论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50" w:firstLine="45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1</w:t>
      </w:r>
      <w:r w:rsidRPr="00AA7AD1">
        <w:rPr>
          <w:rFonts w:eastAsia="仿宋"/>
          <w:sz w:val="30"/>
          <w:szCs w:val="30"/>
        </w:rPr>
        <w:t>、消费、储蓄与投资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50" w:firstLine="45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2</w:t>
      </w:r>
      <w:r w:rsidRPr="00AA7AD1">
        <w:rPr>
          <w:rFonts w:eastAsia="仿宋"/>
          <w:sz w:val="30"/>
          <w:szCs w:val="30"/>
        </w:rPr>
        <w:t>、国民收入的均衡决定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50" w:firstLine="45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3</w:t>
      </w:r>
      <w:r w:rsidRPr="00AA7AD1">
        <w:rPr>
          <w:rFonts w:eastAsia="仿宋"/>
          <w:sz w:val="30"/>
          <w:szCs w:val="30"/>
        </w:rPr>
        <w:t>、国民收入的变动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第三部分产品市场与货币市场的一般均衡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1</w:t>
      </w:r>
      <w:r w:rsidRPr="00AA7AD1">
        <w:rPr>
          <w:rFonts w:eastAsia="仿宋"/>
          <w:sz w:val="30"/>
          <w:szCs w:val="30"/>
        </w:rPr>
        <w:t>、产品市场的均衡：</w:t>
      </w:r>
      <w:r w:rsidRPr="00AA7AD1">
        <w:rPr>
          <w:rFonts w:eastAsia="仿宋"/>
          <w:sz w:val="30"/>
          <w:szCs w:val="30"/>
        </w:rPr>
        <w:t>IS</w:t>
      </w:r>
      <w:r w:rsidRPr="00AA7AD1">
        <w:rPr>
          <w:rFonts w:eastAsia="仿宋"/>
          <w:sz w:val="30"/>
          <w:szCs w:val="30"/>
        </w:rPr>
        <w:t>曲线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2</w:t>
      </w:r>
      <w:r w:rsidRPr="00AA7AD1">
        <w:rPr>
          <w:rFonts w:eastAsia="仿宋"/>
          <w:sz w:val="30"/>
          <w:szCs w:val="30"/>
        </w:rPr>
        <w:t>、货币市场的均衡：</w:t>
      </w:r>
      <w:r w:rsidRPr="00AA7AD1">
        <w:rPr>
          <w:rFonts w:eastAsia="仿宋"/>
          <w:sz w:val="30"/>
          <w:szCs w:val="30"/>
        </w:rPr>
        <w:t>LM</w:t>
      </w:r>
      <w:r w:rsidRPr="00AA7AD1">
        <w:rPr>
          <w:rFonts w:eastAsia="仿宋"/>
          <w:sz w:val="30"/>
          <w:szCs w:val="30"/>
        </w:rPr>
        <w:t>曲线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3</w:t>
      </w:r>
      <w:r w:rsidRPr="00AA7AD1">
        <w:rPr>
          <w:rFonts w:eastAsia="仿宋"/>
          <w:sz w:val="30"/>
          <w:szCs w:val="30"/>
        </w:rPr>
        <w:t>、两个市场的同时均衡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第四部分总需求</w:t>
      </w:r>
      <w:r w:rsidRPr="00AA7AD1">
        <w:rPr>
          <w:rFonts w:eastAsia="仿宋"/>
          <w:sz w:val="30"/>
          <w:szCs w:val="30"/>
        </w:rPr>
        <w:t>-</w:t>
      </w:r>
      <w:r w:rsidRPr="00AA7AD1">
        <w:rPr>
          <w:rFonts w:eastAsia="仿宋"/>
          <w:sz w:val="30"/>
          <w:szCs w:val="30"/>
        </w:rPr>
        <w:t>总供给模型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1</w:t>
      </w:r>
      <w:r w:rsidRPr="00AA7AD1">
        <w:rPr>
          <w:rFonts w:eastAsia="仿宋"/>
          <w:sz w:val="30"/>
          <w:szCs w:val="30"/>
        </w:rPr>
        <w:t>、总需求与总需求曲线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2</w:t>
      </w:r>
      <w:r w:rsidRPr="00AA7AD1">
        <w:rPr>
          <w:rFonts w:eastAsia="仿宋"/>
          <w:sz w:val="30"/>
          <w:szCs w:val="30"/>
        </w:rPr>
        <w:t>、总供给与总供给曲线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3</w:t>
      </w:r>
      <w:r w:rsidRPr="00AA7AD1">
        <w:rPr>
          <w:rFonts w:eastAsia="仿宋"/>
          <w:sz w:val="30"/>
          <w:szCs w:val="30"/>
        </w:rPr>
        <w:t>、总需求与总供给的均衡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第五部分失业与通货膨胀理论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1</w:t>
      </w:r>
      <w:r w:rsidRPr="00AA7AD1">
        <w:rPr>
          <w:rFonts w:eastAsia="仿宋"/>
          <w:sz w:val="30"/>
          <w:szCs w:val="30"/>
        </w:rPr>
        <w:t>、失业理论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lastRenderedPageBreak/>
        <w:t>2</w:t>
      </w:r>
      <w:r w:rsidRPr="00AA7AD1">
        <w:rPr>
          <w:rFonts w:eastAsia="仿宋"/>
          <w:sz w:val="30"/>
          <w:szCs w:val="30"/>
        </w:rPr>
        <w:t>、通货膨胀理论</w:t>
      </w:r>
    </w:p>
    <w:p w:rsidR="00AA7AD1" w:rsidRPr="00AA7AD1" w:rsidRDefault="00AA7AD1" w:rsidP="00AA7AD1">
      <w:pPr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3</w:t>
      </w:r>
      <w:r w:rsidRPr="00AA7AD1">
        <w:rPr>
          <w:rFonts w:eastAsia="仿宋"/>
          <w:sz w:val="30"/>
          <w:szCs w:val="30"/>
        </w:rPr>
        <w:t>、失业与通货膨胀的关系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第六部分经济增长与经济周期理论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1</w:t>
      </w:r>
      <w:r w:rsidRPr="00AA7AD1">
        <w:rPr>
          <w:rFonts w:eastAsia="仿宋"/>
          <w:sz w:val="30"/>
          <w:szCs w:val="30"/>
        </w:rPr>
        <w:t>、经济增长理论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2</w:t>
      </w:r>
      <w:r w:rsidRPr="00AA7AD1">
        <w:rPr>
          <w:rFonts w:eastAsia="仿宋"/>
          <w:sz w:val="30"/>
          <w:szCs w:val="30"/>
        </w:rPr>
        <w:t>、经济周期理论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第七部分宏观经济政策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1</w:t>
      </w:r>
      <w:r w:rsidRPr="00AA7AD1">
        <w:rPr>
          <w:rFonts w:eastAsia="仿宋"/>
          <w:sz w:val="30"/>
          <w:szCs w:val="30"/>
        </w:rPr>
        <w:t>、宏观经济政策的目标及工具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2</w:t>
      </w:r>
      <w:r w:rsidRPr="00AA7AD1">
        <w:rPr>
          <w:rFonts w:eastAsia="仿宋"/>
          <w:sz w:val="30"/>
          <w:szCs w:val="30"/>
        </w:rPr>
        <w:t>、需求管理政策</w:t>
      </w:r>
    </w:p>
    <w:p w:rsidR="00AA7AD1" w:rsidRPr="00AA7AD1" w:rsidRDefault="00AA7AD1" w:rsidP="00AA7AD1">
      <w:pPr>
        <w:tabs>
          <w:tab w:val="left" w:pos="540"/>
          <w:tab w:val="left" w:pos="900"/>
        </w:tabs>
        <w:spacing w:line="360" w:lineRule="auto"/>
        <w:ind w:firstLineChars="100" w:firstLine="300"/>
        <w:rPr>
          <w:rFonts w:eastAsia="仿宋"/>
          <w:sz w:val="30"/>
          <w:szCs w:val="30"/>
        </w:rPr>
      </w:pPr>
      <w:r w:rsidRPr="00AA7AD1">
        <w:rPr>
          <w:rFonts w:eastAsia="仿宋"/>
          <w:sz w:val="30"/>
          <w:szCs w:val="30"/>
        </w:rPr>
        <w:t>3</w:t>
      </w:r>
      <w:r w:rsidRPr="00AA7AD1">
        <w:rPr>
          <w:rFonts w:eastAsia="仿宋"/>
          <w:sz w:val="30"/>
          <w:szCs w:val="30"/>
        </w:rPr>
        <w:t>、供给管理政策</w:t>
      </w:r>
    </w:p>
    <w:p w:rsidR="00776B02" w:rsidRDefault="00C9011B" w:rsidP="00B7347F">
      <w:pPr>
        <w:spacing w:beforeLines="50"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>
        <w:rPr>
          <w:rFonts w:ascii="仿宋" w:eastAsia="仿宋" w:hAnsi="仿宋"/>
          <w:b/>
          <w:sz w:val="30"/>
          <w:szCs w:val="30"/>
        </w:rPr>
        <w:t>、考试形式及试卷结构</w:t>
      </w:r>
    </w:p>
    <w:p w:rsidR="00AA7AD1" w:rsidRPr="005B6B21" w:rsidRDefault="00AA7AD1" w:rsidP="00AA7AD1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5B6B21">
        <w:rPr>
          <w:rFonts w:eastAsia="仿宋"/>
          <w:sz w:val="30"/>
          <w:szCs w:val="30"/>
        </w:rPr>
        <w:t>考试形式为闭卷笔试</w:t>
      </w:r>
      <w:r>
        <w:rPr>
          <w:rFonts w:eastAsia="仿宋" w:hint="eastAsia"/>
          <w:sz w:val="30"/>
          <w:szCs w:val="30"/>
        </w:rPr>
        <w:t>，</w:t>
      </w:r>
      <w:bookmarkStart w:id="0" w:name="_GoBack"/>
      <w:bookmarkEnd w:id="0"/>
      <w:r w:rsidRPr="005B6B21">
        <w:rPr>
          <w:rFonts w:eastAsia="仿宋"/>
          <w:sz w:val="30"/>
          <w:szCs w:val="30"/>
        </w:rPr>
        <w:t>考试时间为</w:t>
      </w:r>
      <w:r w:rsidRPr="005B6B21">
        <w:rPr>
          <w:rFonts w:eastAsia="仿宋"/>
          <w:sz w:val="30"/>
          <w:szCs w:val="30"/>
        </w:rPr>
        <w:t>3</w:t>
      </w:r>
      <w:r w:rsidRPr="005B6B21">
        <w:rPr>
          <w:rFonts w:eastAsia="仿宋"/>
          <w:sz w:val="30"/>
          <w:szCs w:val="30"/>
        </w:rPr>
        <w:t>小时。</w:t>
      </w:r>
    </w:p>
    <w:p w:rsidR="00AA7AD1" w:rsidRPr="005B6B21" w:rsidRDefault="00AA7AD1" w:rsidP="00AA7AD1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 w:rsidRPr="005B6B21">
        <w:rPr>
          <w:rFonts w:eastAsia="仿宋"/>
          <w:sz w:val="30"/>
          <w:szCs w:val="30"/>
        </w:rPr>
        <w:t>其中</w:t>
      </w:r>
      <w:r>
        <w:rPr>
          <w:rFonts w:eastAsia="仿宋" w:hint="eastAsia"/>
          <w:sz w:val="30"/>
          <w:szCs w:val="30"/>
        </w:rPr>
        <w:t>：</w:t>
      </w:r>
      <w:r w:rsidRPr="005B6B21">
        <w:rPr>
          <w:rFonts w:eastAsia="仿宋"/>
          <w:sz w:val="30"/>
          <w:szCs w:val="30"/>
        </w:rPr>
        <w:t>微观经济学</w:t>
      </w:r>
      <w:r>
        <w:rPr>
          <w:rFonts w:eastAsia="仿宋" w:hint="eastAsia"/>
          <w:sz w:val="30"/>
          <w:szCs w:val="30"/>
        </w:rPr>
        <w:t>占</w:t>
      </w:r>
      <w:r>
        <w:rPr>
          <w:rFonts w:eastAsia="仿宋" w:hint="eastAsia"/>
          <w:sz w:val="30"/>
          <w:szCs w:val="30"/>
        </w:rPr>
        <w:t>5</w:t>
      </w:r>
      <w:r>
        <w:rPr>
          <w:rFonts w:eastAsia="仿宋"/>
          <w:sz w:val="30"/>
          <w:szCs w:val="30"/>
        </w:rPr>
        <w:t>5</w:t>
      </w:r>
      <w:r>
        <w:rPr>
          <w:rFonts w:eastAsia="仿宋" w:hint="eastAsia"/>
          <w:sz w:val="30"/>
          <w:szCs w:val="30"/>
        </w:rPr>
        <w:t>%</w:t>
      </w:r>
      <w:r>
        <w:rPr>
          <w:rFonts w:eastAsia="仿宋" w:hint="eastAsia"/>
          <w:sz w:val="30"/>
          <w:szCs w:val="30"/>
        </w:rPr>
        <w:t>，</w:t>
      </w:r>
      <w:r>
        <w:rPr>
          <w:rFonts w:eastAsia="仿宋"/>
          <w:sz w:val="30"/>
          <w:szCs w:val="30"/>
        </w:rPr>
        <w:t>宏观经济学</w:t>
      </w:r>
      <w:r w:rsidRPr="005B6B21">
        <w:rPr>
          <w:rFonts w:eastAsia="仿宋"/>
          <w:sz w:val="30"/>
          <w:szCs w:val="30"/>
        </w:rPr>
        <w:t>占</w:t>
      </w:r>
      <w:r>
        <w:rPr>
          <w:rFonts w:eastAsia="仿宋" w:hint="eastAsia"/>
          <w:sz w:val="30"/>
          <w:szCs w:val="30"/>
        </w:rPr>
        <w:t>4</w:t>
      </w:r>
      <w:r>
        <w:rPr>
          <w:rFonts w:eastAsia="仿宋"/>
          <w:sz w:val="30"/>
          <w:szCs w:val="30"/>
        </w:rPr>
        <w:t>5</w:t>
      </w:r>
      <w:r w:rsidRPr="005B6B21">
        <w:rPr>
          <w:rFonts w:eastAsia="仿宋"/>
          <w:sz w:val="30"/>
          <w:szCs w:val="30"/>
        </w:rPr>
        <w:t>%</w:t>
      </w:r>
      <w:r w:rsidRPr="005B6B21">
        <w:rPr>
          <w:rFonts w:eastAsia="仿宋"/>
          <w:sz w:val="30"/>
          <w:szCs w:val="30"/>
        </w:rPr>
        <w:t>。</w:t>
      </w:r>
    </w:p>
    <w:p w:rsidR="00AA7AD1" w:rsidRDefault="00AA7AD1" w:rsidP="00AA7AD1">
      <w:pPr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776B02" w:rsidRDefault="00776B02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76B02" w:rsidRDefault="00C9011B" w:rsidP="00E63A67">
      <w:pPr>
        <w:widowControl/>
        <w:spacing w:line="440" w:lineRule="exact"/>
        <w:ind w:firstLineChars="1800" w:firstLine="50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负责人签字：</w:t>
      </w:r>
    </w:p>
    <w:p w:rsidR="00776B02" w:rsidRDefault="00C9011B">
      <w:pPr>
        <w:widowControl/>
        <w:spacing w:line="440" w:lineRule="exact"/>
        <w:ind w:firstLineChars="2100" w:firstLine="58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（公章）</w:t>
      </w:r>
    </w:p>
    <w:p w:rsidR="00776B02" w:rsidRDefault="00C9011B" w:rsidP="00E63A67">
      <w:pPr>
        <w:spacing w:line="560" w:lineRule="exact"/>
        <w:ind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年</w:t>
      </w:r>
      <w:r w:rsidR="00E63A67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 w:rsidR="00E63A67"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776B02" w:rsidRDefault="00776B02"/>
    <w:sectPr w:rsidR="00776B02" w:rsidSect="009F6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9A" w:rsidRDefault="004D679A" w:rsidP="00AA7AD1">
      <w:r>
        <w:separator/>
      </w:r>
    </w:p>
  </w:endnote>
  <w:endnote w:type="continuationSeparator" w:id="1">
    <w:p w:rsidR="004D679A" w:rsidRDefault="004D679A" w:rsidP="00AA7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9A" w:rsidRDefault="004D679A" w:rsidP="00AA7AD1">
      <w:r>
        <w:separator/>
      </w:r>
    </w:p>
  </w:footnote>
  <w:footnote w:type="continuationSeparator" w:id="1">
    <w:p w:rsidR="004D679A" w:rsidRDefault="004D679A" w:rsidP="00AA7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565D2A"/>
    <w:rsid w:val="003D5FD2"/>
    <w:rsid w:val="004D679A"/>
    <w:rsid w:val="00631961"/>
    <w:rsid w:val="00776B02"/>
    <w:rsid w:val="009F68DC"/>
    <w:rsid w:val="00A801F9"/>
    <w:rsid w:val="00AA7AD1"/>
    <w:rsid w:val="00B7347F"/>
    <w:rsid w:val="00C9011B"/>
    <w:rsid w:val="00CB3440"/>
    <w:rsid w:val="00E63A67"/>
    <w:rsid w:val="00F7421A"/>
    <w:rsid w:val="23565D2A"/>
    <w:rsid w:val="4B76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8D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F6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A7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7A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码头喇叭</dc:creator>
  <cp:lastModifiedBy>武欢</cp:lastModifiedBy>
  <cp:revision>7</cp:revision>
  <cp:lastPrinted>2021-06-04T08:18:00Z</cp:lastPrinted>
  <dcterms:created xsi:type="dcterms:W3CDTF">2020-07-07T08:17:00Z</dcterms:created>
  <dcterms:modified xsi:type="dcterms:W3CDTF">2022-09-08T02:36:00Z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A06CAD09D15E4B429C2FB0D68378D2E0</vt:lpwstr>
  </property>
</Properties>
</file>