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  <w:highlight w:val="none"/>
        </w:rPr>
      </w:pPr>
      <w:r>
        <w:rPr>
          <w:rFonts w:hint="eastAsia" w:ascii="黑体" w:hAnsi="黑体" w:eastAsia="黑体" w:cs="黑体"/>
          <w:sz w:val="44"/>
          <w:szCs w:val="44"/>
          <w:highlight w:val="none"/>
        </w:rPr>
        <w:t>东北大学</w:t>
      </w:r>
      <w:r>
        <w:rPr>
          <w:rFonts w:hint="eastAsia" w:ascii="黑体" w:hAnsi="黑体" w:eastAsia="黑体" w:cs="黑体"/>
          <w:sz w:val="44"/>
          <w:szCs w:val="44"/>
          <w:highlight w:val="none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AAA9
</w:fldData>
        </w:fldChar>
      </w:r>
      <w:r>
        <w:rPr>
          <w:rFonts w:hint="eastAsia" w:ascii="黑体" w:hAnsi="黑体" w:eastAsia="黑体" w:cs="黑体"/>
          <w:sz w:val="44"/>
          <w:szCs w:val="44"/>
          <w:highlight w:val="none"/>
        </w:rPr>
        <w:instrText xml:space="preserve">ADDIN CNKISM.UserStyle</w:instrText>
      </w:r>
      <w:r>
        <w:rPr>
          <w:rFonts w:hint="eastAsia" w:ascii="黑体" w:hAnsi="黑体" w:eastAsia="黑体" w:cs="黑体"/>
          <w:sz w:val="44"/>
          <w:szCs w:val="44"/>
          <w:highlight w:val="none"/>
        </w:rPr>
        <w:fldChar w:fldCharType="end"/>
      </w:r>
      <w:r>
        <w:rPr>
          <w:rFonts w:hint="eastAsia" w:ascii="黑体" w:hAnsi="黑体" w:eastAsia="黑体" w:cs="黑体"/>
          <w:sz w:val="44"/>
          <w:szCs w:val="44"/>
          <w:highlight w:val="none"/>
        </w:rPr>
        <w:t>202</w:t>
      </w:r>
      <w:r>
        <w:rPr>
          <w:rFonts w:hint="eastAsia" w:ascii="黑体" w:hAnsi="黑体" w:eastAsia="黑体" w:cs="黑体"/>
          <w:sz w:val="44"/>
          <w:szCs w:val="44"/>
          <w:highlight w:val="none"/>
          <w:lang w:val="en-US" w:eastAsia="zh-CN"/>
        </w:rPr>
        <w:t>3</w:t>
      </w:r>
      <w:r>
        <w:rPr>
          <w:rFonts w:hint="eastAsia" w:ascii="黑体" w:hAnsi="黑体" w:eastAsia="黑体" w:cs="黑体"/>
          <w:sz w:val="44"/>
          <w:szCs w:val="44"/>
          <w:highlight w:val="none"/>
        </w:rPr>
        <w:t>年硕士研究生招生考试</w:t>
      </w:r>
    </w:p>
    <w:p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  <w:highlight w:val="none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highlight w:val="none"/>
        </w:rPr>
        <w:t>考试大纲</w:t>
      </w:r>
    </w:p>
    <w:p>
      <w:pPr>
        <w:spacing w:before="156" w:beforeLines="50" w:line="360" w:lineRule="auto"/>
        <w:ind w:firstLine="640" w:firstLineChars="200"/>
        <w:jc w:val="center"/>
        <w:rPr>
          <w:rFonts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科目代码：</w:t>
      </w:r>
      <w:r>
        <w:rPr>
          <w:rFonts w:ascii="黑体" w:hAnsi="黑体" w:eastAsia="黑体" w:cs="黑体"/>
          <w:sz w:val="32"/>
          <w:szCs w:val="32"/>
          <w:highlight w:val="none"/>
          <w:u w:val="thick"/>
        </w:rPr>
        <w:t>857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；  科目名称：</w:t>
      </w:r>
      <w:r>
        <w:rPr>
          <w:rFonts w:hint="eastAsia" w:ascii="黑体" w:hAnsi="黑体" w:eastAsia="黑体" w:cs="黑体"/>
          <w:sz w:val="32"/>
          <w:szCs w:val="32"/>
          <w:highlight w:val="none"/>
          <w:u w:val="thick"/>
        </w:rPr>
        <w:t>生物医学工程基础（含数据结构和模拟电子）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bCs/>
          <w:sz w:val="28"/>
          <w:szCs w:val="28"/>
          <w:highlight w:val="none"/>
        </w:rPr>
        <w:t>一、考试性质</w:t>
      </w:r>
    </w:p>
    <w:p>
      <w:pPr>
        <w:spacing w:line="560" w:lineRule="exact"/>
        <w:ind w:firstLine="560" w:firstLineChars="200"/>
        <w:rPr>
          <w:sz w:val="28"/>
          <w:szCs w:val="28"/>
          <w:highlight w:val="none"/>
        </w:rPr>
      </w:pPr>
      <w:r>
        <w:rPr>
          <w:rFonts w:hint="eastAsia"/>
          <w:sz w:val="28"/>
          <w:szCs w:val="28"/>
          <w:highlight w:val="none"/>
        </w:rPr>
        <w:t>生物医学工程基础（含数据结构和模拟电子）是生物医学工程专业硕士生入学考试的业务课。考试对象为参加生物医学工程专业202</w:t>
      </w:r>
      <w:r>
        <w:rPr>
          <w:rFonts w:hint="eastAsia"/>
          <w:sz w:val="28"/>
          <w:szCs w:val="28"/>
          <w:highlight w:val="none"/>
          <w:lang w:val="en-US" w:eastAsia="zh-CN"/>
        </w:rPr>
        <w:t>3</w:t>
      </w:r>
      <w:r>
        <w:rPr>
          <w:rFonts w:hint="eastAsia"/>
          <w:sz w:val="28"/>
          <w:szCs w:val="28"/>
          <w:highlight w:val="none"/>
        </w:rPr>
        <w:t>年全国硕士研究生入学考试的准考考生。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bCs/>
          <w:sz w:val="28"/>
          <w:szCs w:val="28"/>
          <w:highlight w:val="none"/>
        </w:rPr>
        <w:t>二、考试形式与考试时间</w:t>
      </w:r>
    </w:p>
    <w:p>
      <w:pPr>
        <w:spacing w:line="560" w:lineRule="exact"/>
        <w:ind w:firstLine="560" w:firstLineChars="200"/>
        <w:rPr>
          <w:sz w:val="28"/>
          <w:szCs w:val="28"/>
          <w:highlight w:val="none"/>
        </w:rPr>
      </w:pPr>
      <w:r>
        <w:rPr>
          <w:rFonts w:hint="eastAsia"/>
          <w:sz w:val="28"/>
          <w:szCs w:val="28"/>
          <w:highlight w:val="none"/>
        </w:rPr>
        <w:t>（一）考试形式：闭卷，笔试。</w:t>
      </w:r>
    </w:p>
    <w:p>
      <w:pPr>
        <w:spacing w:line="560" w:lineRule="exact"/>
        <w:ind w:firstLine="560" w:firstLineChars="200"/>
        <w:rPr>
          <w:sz w:val="28"/>
          <w:szCs w:val="28"/>
          <w:highlight w:val="none"/>
        </w:rPr>
      </w:pPr>
      <w:r>
        <w:rPr>
          <w:rFonts w:hint="eastAsia"/>
          <w:sz w:val="28"/>
          <w:szCs w:val="28"/>
          <w:highlight w:val="none"/>
        </w:rPr>
        <w:t>（二）考试时间：</w:t>
      </w:r>
      <w:r>
        <w:rPr>
          <w:sz w:val="28"/>
          <w:szCs w:val="28"/>
          <w:highlight w:val="none"/>
        </w:rPr>
        <w:t>180</w:t>
      </w:r>
      <w:r>
        <w:rPr>
          <w:rFonts w:hint="eastAsia"/>
          <w:sz w:val="28"/>
          <w:szCs w:val="28"/>
          <w:highlight w:val="none"/>
        </w:rPr>
        <w:t>分钟。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bCs/>
          <w:sz w:val="28"/>
          <w:szCs w:val="28"/>
          <w:highlight w:val="none"/>
        </w:rPr>
        <w:t>三、考查要点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</w:rPr>
        <w:t>（一）数据结构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</w:rPr>
        <w:t>1</w:t>
      </w:r>
      <w:r>
        <w:rPr>
          <w:rFonts w:ascii="宋体" w:hAnsi="宋体"/>
          <w:sz w:val="28"/>
          <w:szCs w:val="28"/>
          <w:highlight w:val="none"/>
        </w:rPr>
        <w:t>.</w:t>
      </w:r>
      <w:r>
        <w:rPr>
          <w:rFonts w:hint="eastAsia" w:ascii="宋体" w:hAnsi="宋体"/>
          <w:sz w:val="28"/>
          <w:szCs w:val="28"/>
          <w:highlight w:val="none"/>
        </w:rPr>
        <w:t>数据结构基本概念、抽象数据类型的表示与实现、算法和算法分析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ascii="宋体" w:hAnsi="宋体"/>
          <w:sz w:val="28"/>
          <w:szCs w:val="28"/>
          <w:highlight w:val="none"/>
        </w:rPr>
        <w:t>2.</w:t>
      </w:r>
      <w:r>
        <w:rPr>
          <w:rFonts w:hint="eastAsia" w:ascii="宋体" w:hAnsi="宋体"/>
          <w:sz w:val="28"/>
          <w:szCs w:val="28"/>
          <w:highlight w:val="none"/>
        </w:rPr>
        <w:t>线性表的类型定义、线性表的顺序表示和实现、线性表的链式表示和实现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ascii="宋体" w:hAnsi="宋体"/>
          <w:sz w:val="28"/>
          <w:szCs w:val="28"/>
          <w:highlight w:val="none"/>
        </w:rPr>
        <w:t>3.</w:t>
      </w:r>
      <w:r>
        <w:rPr>
          <w:rFonts w:hint="eastAsia" w:ascii="宋体" w:hAnsi="宋体"/>
          <w:sz w:val="28"/>
          <w:szCs w:val="28"/>
          <w:highlight w:val="none"/>
        </w:rPr>
        <w:t>栈的类型定义、表示和实现；队列的类型定义、表示和实现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ascii="宋体" w:hAnsi="宋体"/>
          <w:sz w:val="28"/>
          <w:szCs w:val="28"/>
          <w:highlight w:val="none"/>
        </w:rPr>
        <w:t>4.</w:t>
      </w:r>
      <w:r>
        <w:rPr>
          <w:rFonts w:hint="eastAsia" w:ascii="宋体" w:hAnsi="宋体"/>
          <w:sz w:val="28"/>
          <w:szCs w:val="28"/>
          <w:highlight w:val="none"/>
        </w:rPr>
        <w:t>数组的定义、顺序表示和实现、矩阵的压缩存储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ascii="宋体" w:hAnsi="宋体"/>
          <w:sz w:val="28"/>
          <w:szCs w:val="28"/>
          <w:highlight w:val="none"/>
        </w:rPr>
        <w:t>5.</w:t>
      </w:r>
      <w:r>
        <w:rPr>
          <w:rFonts w:hint="eastAsia" w:ascii="宋体" w:hAnsi="宋体"/>
          <w:sz w:val="28"/>
          <w:szCs w:val="28"/>
          <w:highlight w:val="none"/>
        </w:rPr>
        <w:t>树的定义；二叉树的定义、性质、存储结构和遍历；树的存储结构、森林与二叉树的转换、树和森林的遍历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ascii="宋体" w:hAnsi="宋体"/>
          <w:sz w:val="28"/>
          <w:szCs w:val="28"/>
          <w:highlight w:val="none"/>
        </w:rPr>
        <w:t>6.图的定义和术语</w:t>
      </w:r>
      <w:r>
        <w:rPr>
          <w:rFonts w:hint="eastAsia" w:ascii="宋体" w:hAnsi="宋体"/>
          <w:sz w:val="28"/>
          <w:szCs w:val="28"/>
          <w:highlight w:val="none"/>
        </w:rPr>
        <w:t>、</w:t>
      </w:r>
      <w:r>
        <w:rPr>
          <w:rFonts w:ascii="宋体" w:hAnsi="宋体"/>
          <w:sz w:val="28"/>
          <w:szCs w:val="28"/>
          <w:highlight w:val="none"/>
        </w:rPr>
        <w:t>图的存储结构</w:t>
      </w:r>
      <w:r>
        <w:rPr>
          <w:rFonts w:hint="eastAsia" w:ascii="宋体" w:hAnsi="宋体"/>
          <w:sz w:val="28"/>
          <w:szCs w:val="28"/>
          <w:highlight w:val="none"/>
        </w:rPr>
        <w:t>、</w:t>
      </w:r>
      <w:r>
        <w:rPr>
          <w:rFonts w:ascii="宋体" w:hAnsi="宋体"/>
          <w:sz w:val="28"/>
          <w:szCs w:val="28"/>
          <w:highlight w:val="none"/>
        </w:rPr>
        <w:t>图的遍历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ascii="宋体" w:hAnsi="宋体"/>
          <w:sz w:val="28"/>
          <w:szCs w:val="28"/>
          <w:highlight w:val="none"/>
        </w:rPr>
        <w:t>7.</w:t>
      </w:r>
      <w:r>
        <w:rPr>
          <w:rFonts w:hint="eastAsia" w:ascii="宋体" w:hAnsi="宋体"/>
          <w:sz w:val="28"/>
          <w:szCs w:val="28"/>
          <w:highlight w:val="none"/>
        </w:rPr>
        <w:t>顺序表的查找、有序表的查找、索引顺序表的查找；哈希表的概念、哈希函数的构造方法、处理冲突的方法、哈希表的查找及其分析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ascii="宋体" w:hAnsi="宋体"/>
          <w:sz w:val="28"/>
          <w:szCs w:val="28"/>
          <w:highlight w:val="none"/>
        </w:rPr>
        <w:t>8.</w:t>
      </w:r>
      <w:r>
        <w:rPr>
          <w:rFonts w:hint="eastAsia" w:ascii="宋体" w:hAnsi="宋体"/>
          <w:sz w:val="28"/>
          <w:szCs w:val="28"/>
          <w:highlight w:val="none"/>
        </w:rPr>
        <w:t>直接插入排序、希尔排序、快速排序、简单选择排序、归并排序；排序方法的比较</w:t>
      </w:r>
    </w:p>
    <w:p>
      <w:pPr>
        <w:spacing w:line="560" w:lineRule="exact"/>
        <w:ind w:firstLine="560" w:firstLineChars="200"/>
        <w:rPr>
          <w:rFonts w:hint="eastAsia"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</w:rPr>
        <w:t>（二）模拟电子技术基础</w:t>
      </w:r>
    </w:p>
    <w:p>
      <w:pPr>
        <w:spacing w:line="560" w:lineRule="exact"/>
        <w:ind w:firstLine="560" w:firstLineChars="200"/>
        <w:rPr>
          <w:rFonts w:hint="eastAsia"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宋体" w:hAnsi="宋体"/>
          <w:sz w:val="28"/>
          <w:szCs w:val="28"/>
          <w:highlight w:val="none"/>
        </w:rPr>
        <w:t>基本半导体器件包括半导体二极管、半导体三极管工作原理、晶体管的开关作用</w:t>
      </w:r>
    </w:p>
    <w:p>
      <w:pPr>
        <w:spacing w:line="560" w:lineRule="exact"/>
        <w:ind w:firstLine="560" w:firstLineChars="200"/>
        <w:rPr>
          <w:rFonts w:hint="eastAsia"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宋体" w:hAnsi="宋体"/>
          <w:sz w:val="28"/>
          <w:szCs w:val="28"/>
          <w:highlight w:val="none"/>
        </w:rPr>
        <w:t>基本放大电路包括三种基本组态放大电路的计算、静态工作点的计算、微变等效电路、多级放大电路及其级间耦合</w:t>
      </w:r>
    </w:p>
    <w:p>
      <w:pPr>
        <w:spacing w:line="560" w:lineRule="exact"/>
        <w:ind w:firstLine="560" w:firstLineChars="200"/>
        <w:rPr>
          <w:rFonts w:hint="eastAsia"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宋体" w:hAnsi="宋体"/>
          <w:sz w:val="28"/>
          <w:szCs w:val="28"/>
          <w:highlight w:val="none"/>
        </w:rPr>
        <w:t>负反馈放大电路包括反馈的基本概念及类型判断、负反馈放大电路的计算</w:t>
      </w:r>
    </w:p>
    <w:p>
      <w:pPr>
        <w:spacing w:line="560" w:lineRule="exact"/>
        <w:ind w:firstLine="560" w:firstLineChars="200"/>
        <w:rPr>
          <w:rFonts w:hint="eastAsia"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  <w:lang w:val="en-US" w:eastAsia="zh-CN"/>
        </w:rPr>
        <w:t>4.</w:t>
      </w:r>
      <w:r>
        <w:rPr>
          <w:rFonts w:hint="eastAsia" w:ascii="宋体" w:hAnsi="宋体"/>
          <w:sz w:val="28"/>
          <w:szCs w:val="28"/>
          <w:highlight w:val="none"/>
        </w:rPr>
        <w:t>差动放大电路包括四种接法的差动放大电路的静态分析、对差模信号的放大作用分析、对共模信号的抑制作用分析</w:t>
      </w:r>
    </w:p>
    <w:p>
      <w:pPr>
        <w:spacing w:line="560" w:lineRule="exact"/>
        <w:ind w:firstLine="560" w:firstLineChars="200"/>
        <w:rPr>
          <w:rFonts w:hint="eastAsia"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  <w:lang w:val="en-US" w:eastAsia="zh-CN"/>
        </w:rPr>
        <w:t>5.</w:t>
      </w:r>
      <w:r>
        <w:rPr>
          <w:rFonts w:hint="eastAsia" w:ascii="宋体" w:hAnsi="宋体"/>
          <w:sz w:val="28"/>
          <w:szCs w:val="28"/>
          <w:highlight w:val="none"/>
        </w:rPr>
        <w:t>集成运算电路包括比例运算、加法运算、减法运算、积分运算、微分运算、比较器电路</w:t>
      </w:r>
    </w:p>
    <w:p>
      <w:pPr>
        <w:spacing w:line="560" w:lineRule="exact"/>
        <w:ind w:firstLine="560" w:firstLineChars="200"/>
        <w:rPr>
          <w:rFonts w:hint="eastAsia"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  <w:lang w:val="en-US" w:eastAsia="zh-CN"/>
        </w:rPr>
        <w:t>6.</w:t>
      </w:r>
      <w:r>
        <w:rPr>
          <w:rFonts w:hint="eastAsia" w:ascii="宋体" w:hAnsi="宋体"/>
          <w:sz w:val="28"/>
          <w:szCs w:val="28"/>
          <w:highlight w:val="none"/>
        </w:rPr>
        <w:t>功率放大电路包括乙类互补与甲乙类功率放大电路等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bCs/>
          <w:sz w:val="28"/>
          <w:szCs w:val="28"/>
          <w:highlight w:val="none"/>
        </w:rPr>
        <w:t>四、计算器使用要求</w:t>
      </w:r>
    </w:p>
    <w:p>
      <w:pPr>
        <w:spacing w:line="560" w:lineRule="exact"/>
        <w:ind w:firstLine="560" w:firstLineChars="200"/>
        <w:rPr>
          <w:rFonts w:hint="eastAsia" w:eastAsia="宋体"/>
          <w:color w:val="auto"/>
          <w:sz w:val="28"/>
          <w:szCs w:val="28"/>
          <w:highlight w:val="none"/>
          <w:lang w:eastAsia="zh-CN"/>
        </w:rPr>
      </w:pPr>
      <w:r>
        <w:rPr>
          <w:rFonts w:hint="eastAsia"/>
          <w:color w:val="auto"/>
          <w:sz w:val="28"/>
          <w:szCs w:val="28"/>
          <w:highlight w:val="none"/>
        </w:rPr>
        <w:t>本科目需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要</w:t>
      </w:r>
      <w:r>
        <w:rPr>
          <w:rFonts w:hint="eastAsia"/>
          <w:color w:val="auto"/>
          <w:sz w:val="28"/>
          <w:szCs w:val="28"/>
          <w:highlight w:val="none"/>
        </w:rPr>
        <w:t>使用计算器</w:t>
      </w:r>
      <w:r>
        <w:rPr>
          <w:rFonts w:hint="eastAsia"/>
          <w:color w:val="auto"/>
          <w:sz w:val="28"/>
          <w:szCs w:val="28"/>
          <w:highlight w:val="none"/>
          <w:lang w:eastAsia="zh-CN"/>
        </w:rPr>
        <w:t>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sz w:val="28"/>
          <w:szCs w:val="28"/>
          <w:highlight w:val="none"/>
        </w:rPr>
        <w:t>附件1：</w:t>
      </w: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试题</w:t>
      </w:r>
      <w:r>
        <w:rPr>
          <w:rFonts w:hint="eastAsia" w:ascii="黑体" w:hAnsi="黑体" w:eastAsia="黑体" w:cs="黑体"/>
          <w:sz w:val="28"/>
          <w:szCs w:val="28"/>
          <w:highlight w:val="none"/>
        </w:rPr>
        <w:t>导语参考</w:t>
      </w:r>
    </w:p>
    <w:p>
      <w:pPr>
        <w:numPr>
          <w:ilvl w:val="0"/>
          <w:numId w:val="1"/>
        </w:numPr>
        <w:spacing w:line="560" w:lineRule="exact"/>
        <w:ind w:left="910" w:leftChars="0" w:firstLine="560" w:firstLineChars="0"/>
        <w:rPr>
          <w:color w:val="auto"/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简述与解答</w:t>
      </w:r>
      <w:r>
        <w:rPr>
          <w:color w:val="auto"/>
          <w:sz w:val="28"/>
          <w:szCs w:val="28"/>
          <w:highlight w:val="none"/>
        </w:rPr>
        <w:t>题</w:t>
      </w:r>
      <w:r>
        <w:rPr>
          <w:rFonts w:hint="eastAsia"/>
          <w:color w:val="auto"/>
          <w:sz w:val="28"/>
          <w:szCs w:val="28"/>
          <w:highlight w:val="none"/>
        </w:rPr>
        <w:t>（共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/>
          <w:color w:val="auto"/>
          <w:sz w:val="28"/>
          <w:szCs w:val="28"/>
          <w:highlight w:val="none"/>
        </w:rPr>
        <w:t>小题，共</w:t>
      </w:r>
      <w:r>
        <w:rPr>
          <w:color w:val="auto"/>
          <w:sz w:val="28"/>
          <w:szCs w:val="28"/>
          <w:highlight w:val="none"/>
        </w:rPr>
        <w:t>30</w:t>
      </w:r>
      <w:r>
        <w:rPr>
          <w:rFonts w:hint="eastAsia"/>
          <w:color w:val="auto"/>
          <w:sz w:val="28"/>
          <w:szCs w:val="28"/>
          <w:highlight w:val="none"/>
        </w:rPr>
        <w:t>分）</w:t>
      </w:r>
    </w:p>
    <w:p>
      <w:pPr>
        <w:numPr>
          <w:ilvl w:val="0"/>
          <w:numId w:val="1"/>
        </w:numPr>
        <w:spacing w:line="560" w:lineRule="exact"/>
        <w:ind w:left="910" w:leftChars="0" w:firstLine="560" w:firstLineChars="0"/>
        <w:rPr>
          <w:color w:val="auto"/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>设计与分析题（共</w:t>
      </w:r>
      <w:r>
        <w:rPr>
          <w:color w:val="auto"/>
          <w:sz w:val="28"/>
          <w:szCs w:val="28"/>
          <w:highlight w:val="none"/>
        </w:rPr>
        <w:t>3</w:t>
      </w:r>
      <w:r>
        <w:rPr>
          <w:rFonts w:hint="eastAsia"/>
          <w:color w:val="auto"/>
          <w:sz w:val="28"/>
          <w:szCs w:val="28"/>
          <w:highlight w:val="none"/>
        </w:rPr>
        <w:t>小题，共</w:t>
      </w:r>
      <w:r>
        <w:rPr>
          <w:color w:val="auto"/>
          <w:sz w:val="28"/>
          <w:szCs w:val="28"/>
          <w:highlight w:val="none"/>
        </w:rPr>
        <w:t>45</w:t>
      </w:r>
      <w:r>
        <w:rPr>
          <w:rFonts w:hint="eastAsia"/>
          <w:color w:val="auto"/>
          <w:sz w:val="28"/>
          <w:szCs w:val="28"/>
          <w:highlight w:val="none"/>
        </w:rPr>
        <w:t>分）</w:t>
      </w:r>
    </w:p>
    <w:p>
      <w:pPr>
        <w:numPr>
          <w:ilvl w:val="0"/>
          <w:numId w:val="1"/>
        </w:numPr>
        <w:spacing w:line="560" w:lineRule="exact"/>
        <w:ind w:left="910" w:leftChars="0" w:firstLine="560" w:firstLineChars="0"/>
        <w:rPr>
          <w:color w:val="auto"/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分析计算题</w:t>
      </w:r>
      <w:r>
        <w:rPr>
          <w:rFonts w:hint="eastAsia"/>
          <w:color w:val="auto"/>
          <w:sz w:val="28"/>
          <w:szCs w:val="28"/>
          <w:highlight w:val="none"/>
        </w:rPr>
        <w:t>（共</w:t>
      </w:r>
      <w:r>
        <w:rPr>
          <w:rFonts w:hint="eastAsia"/>
          <w:color w:val="auto"/>
          <w:sz w:val="28"/>
          <w:szCs w:val="28"/>
          <w:highlight w:val="none"/>
          <w:lang w:eastAsia="zh-CN"/>
        </w:rPr>
        <w:t>3</w:t>
      </w:r>
      <w:r>
        <w:rPr>
          <w:rFonts w:hint="eastAsia"/>
          <w:color w:val="auto"/>
          <w:sz w:val="28"/>
          <w:szCs w:val="28"/>
          <w:highlight w:val="none"/>
        </w:rPr>
        <w:t>小题，共</w:t>
      </w:r>
      <w:r>
        <w:rPr>
          <w:rFonts w:hint="eastAsia"/>
          <w:color w:val="auto"/>
          <w:sz w:val="28"/>
          <w:szCs w:val="28"/>
          <w:highlight w:val="none"/>
          <w:lang w:eastAsia="zh-CN"/>
        </w:rPr>
        <w:t>39</w:t>
      </w:r>
      <w:r>
        <w:rPr>
          <w:rFonts w:hint="eastAsia"/>
          <w:color w:val="auto"/>
          <w:sz w:val="28"/>
          <w:szCs w:val="28"/>
          <w:highlight w:val="none"/>
        </w:rPr>
        <w:t>分）</w:t>
      </w:r>
    </w:p>
    <w:p>
      <w:pPr>
        <w:numPr>
          <w:ilvl w:val="0"/>
          <w:numId w:val="1"/>
        </w:numPr>
        <w:spacing w:line="560" w:lineRule="exact"/>
        <w:ind w:left="910" w:leftChars="0" w:firstLine="560" w:firstLineChars="0"/>
        <w:rPr>
          <w:color w:val="auto"/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综合</w:t>
      </w:r>
      <w:r>
        <w:rPr>
          <w:rFonts w:hint="eastAsia"/>
          <w:color w:val="auto"/>
          <w:sz w:val="28"/>
          <w:szCs w:val="28"/>
          <w:highlight w:val="none"/>
        </w:rPr>
        <w:t>计算题（共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/>
          <w:color w:val="auto"/>
          <w:sz w:val="28"/>
          <w:szCs w:val="28"/>
          <w:highlight w:val="none"/>
        </w:rPr>
        <w:t>小题，共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36</w:t>
      </w:r>
      <w:r>
        <w:rPr>
          <w:rFonts w:hint="eastAsia"/>
          <w:color w:val="auto"/>
          <w:sz w:val="28"/>
          <w:szCs w:val="28"/>
          <w:highlight w:val="none"/>
        </w:rPr>
        <w:t>分）</w:t>
      </w:r>
    </w:p>
    <w:p>
      <w:pPr>
        <w:numPr>
          <w:ilvl w:val="0"/>
          <w:numId w:val="0"/>
        </w:numPr>
        <w:spacing w:line="560" w:lineRule="exact"/>
        <w:rPr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 xml:space="preserve">    注：</w:t>
      </w:r>
      <w:r>
        <w:rPr>
          <w:rFonts w:hint="eastAsia" w:ascii="宋体" w:hAnsi="宋体"/>
          <w:sz w:val="28"/>
          <w:szCs w:val="28"/>
          <w:highlight w:val="none"/>
          <w:lang w:eastAsia="zh-CN"/>
        </w:rPr>
        <w:t>数据结构与</w:t>
      </w:r>
      <w:r>
        <w:rPr>
          <w:rFonts w:hint="eastAsia" w:ascii="宋体" w:hAnsi="宋体"/>
          <w:sz w:val="28"/>
          <w:szCs w:val="28"/>
          <w:highlight w:val="none"/>
        </w:rPr>
        <w:t>模拟电子技术基础</w:t>
      </w:r>
      <w:r>
        <w:rPr>
          <w:rFonts w:hint="eastAsia" w:ascii="宋体" w:hAnsi="宋体"/>
          <w:sz w:val="28"/>
          <w:szCs w:val="28"/>
          <w:highlight w:val="none"/>
          <w:lang w:eastAsia="zh-CN"/>
        </w:rPr>
        <w:t>，两部分考题各占总分约</w:t>
      </w:r>
      <w:r>
        <w:rPr>
          <w:rFonts w:hint="eastAsia" w:ascii="宋体" w:hAnsi="宋体"/>
          <w:sz w:val="28"/>
          <w:szCs w:val="28"/>
          <w:highlight w:val="none"/>
          <w:lang w:val="en-US" w:eastAsia="zh-CN"/>
        </w:rPr>
        <w:t>50%，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试题导语信息最终以试题命制为准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sz w:val="28"/>
          <w:szCs w:val="28"/>
          <w:highlight w:val="none"/>
        </w:rPr>
        <w:t>附件2：参考书目信息</w:t>
      </w:r>
    </w:p>
    <w:p>
      <w:pPr>
        <w:spacing w:line="560" w:lineRule="exact"/>
        <w:ind w:firstLine="560" w:firstLineChars="200"/>
        <w:rPr>
          <w:highlight w:val="none"/>
        </w:rPr>
      </w:pPr>
      <w:r>
        <w:rPr>
          <w:rFonts w:hint="eastAsia"/>
          <w:sz w:val="28"/>
          <w:szCs w:val="28"/>
          <w:highlight w:val="none"/>
        </w:rPr>
        <w:t>严蔚敏，吴伟民.</w:t>
      </w:r>
      <w:r>
        <w:rPr>
          <w:sz w:val="28"/>
          <w:szCs w:val="28"/>
          <w:highlight w:val="none"/>
        </w:rPr>
        <w:t xml:space="preserve"> </w:t>
      </w:r>
      <w:r>
        <w:rPr>
          <w:rFonts w:hint="eastAsia"/>
          <w:sz w:val="28"/>
          <w:szCs w:val="28"/>
          <w:highlight w:val="none"/>
        </w:rPr>
        <w:t>数据结构（C语言版），清华大学出版社，200</w:t>
      </w:r>
      <w:r>
        <w:rPr>
          <w:sz w:val="28"/>
          <w:szCs w:val="28"/>
          <w:highlight w:val="none"/>
        </w:rPr>
        <w:t>6</w:t>
      </w:r>
      <w:r>
        <w:rPr>
          <w:rFonts w:hint="eastAsia"/>
          <w:sz w:val="28"/>
          <w:szCs w:val="28"/>
          <w:highlight w:val="none"/>
        </w:rPr>
        <w:t>年</w:t>
      </w:r>
      <w:r>
        <w:rPr>
          <w:sz w:val="28"/>
          <w:szCs w:val="28"/>
          <w:highlight w:val="none"/>
        </w:rPr>
        <w:t>10</w:t>
      </w:r>
      <w:r>
        <w:rPr>
          <w:rFonts w:hint="eastAsia"/>
          <w:sz w:val="28"/>
          <w:szCs w:val="28"/>
          <w:highlight w:val="none"/>
        </w:rPr>
        <w:t>月。</w:t>
      </w:r>
    </w:p>
    <w:p>
      <w:pPr>
        <w:spacing w:line="560" w:lineRule="exact"/>
        <w:ind w:firstLine="560" w:firstLineChars="200"/>
        <w:rPr>
          <w:rFonts w:hint="eastAsia"/>
          <w:sz w:val="28"/>
          <w:szCs w:val="28"/>
          <w:highlight w:val="none"/>
        </w:rPr>
      </w:pPr>
      <w:r>
        <w:rPr>
          <w:rFonts w:hint="eastAsia"/>
          <w:sz w:val="28"/>
          <w:szCs w:val="28"/>
          <w:highlight w:val="none"/>
        </w:rPr>
        <w:t>李晶皎，王文辉编著.电路与电子学（第5版），电子工业出版社，2018年.</w:t>
      </w:r>
    </w:p>
    <w:p>
      <w:pPr>
        <w:spacing w:line="360" w:lineRule="auto"/>
        <w:rPr>
          <w:rFonts w:ascii="黑体" w:hAnsi="黑体" w:eastAsia="黑体" w:cs="黑体"/>
          <w:sz w:val="32"/>
          <w:szCs w:val="32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203200</wp:posOffset>
            </wp:positionV>
            <wp:extent cx="2879725" cy="4020185"/>
            <wp:effectExtent l="0" t="0" r="15875" b="1841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z w:val="32"/>
          <w:szCs w:val="32"/>
          <w:highlight w:val="none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217805</wp:posOffset>
            </wp:positionV>
            <wp:extent cx="2879725" cy="4014470"/>
            <wp:effectExtent l="0" t="0" r="15875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2181" r="4981" b="198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highlight w:val="none"/>
        </w:rPr>
      </w:pPr>
    </w:p>
    <w:p>
      <w:pPr>
        <w:rPr>
          <w:highlight w:val="none"/>
        </w:rPr>
      </w:pPr>
    </w:p>
    <w:p>
      <w:pP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附件3：样题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黑体" w:hAnsi="黑体" w:eastAsia="黑体" w:cs="黑体"/>
          <w:sz w:val="28"/>
          <w:szCs w:val="28"/>
          <w:highlight w:val="none"/>
          <w:lang w:val="en-US" w:eastAsia="zh-CN"/>
        </w:rPr>
      </w:pPr>
      <w:r>
        <w:rPr>
          <w:rFonts w:hint="default" w:ascii="黑体" w:hAnsi="黑体" w:eastAsia="黑体" w:cs="黑体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760085" cy="5650230"/>
            <wp:effectExtent l="0" t="0" r="2540" b="7620"/>
            <wp:docPr id="3" name="图片 3" descr="85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57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黑体" w:hAnsi="黑体" w:eastAsia="黑体" w:cs="黑体"/>
          <w:sz w:val="28"/>
          <w:szCs w:val="28"/>
          <w:highlight w:val="none"/>
          <w:lang w:val="en-US" w:eastAsia="zh-CN"/>
        </w:rPr>
      </w:pPr>
      <w:r>
        <w:rPr>
          <w:rFonts w:hint="default" w:ascii="黑体" w:hAnsi="黑体" w:eastAsia="黑体" w:cs="黑体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760085" cy="7441565"/>
            <wp:effectExtent l="0" t="0" r="2540" b="6985"/>
            <wp:docPr id="4" name="图片 4" descr="85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57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黑体" w:hAnsi="黑体" w:eastAsia="黑体" w:cs="黑体"/>
          <w:sz w:val="28"/>
          <w:szCs w:val="28"/>
          <w:highlight w:val="none"/>
          <w:lang w:val="en-US" w:eastAsia="zh-CN"/>
        </w:rPr>
      </w:pPr>
      <w:r>
        <w:rPr>
          <w:rFonts w:hint="default" w:ascii="黑体" w:hAnsi="黑体" w:eastAsia="黑体" w:cs="黑体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760085" cy="7441565"/>
            <wp:effectExtent l="0" t="0" r="2540" b="6985"/>
            <wp:docPr id="5" name="图片 5" descr="85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57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黑体" w:hAnsi="黑体" w:eastAsia="黑体" w:cs="黑体"/>
          <w:sz w:val="28"/>
          <w:szCs w:val="28"/>
          <w:highlight w:val="none"/>
          <w:lang w:val="en-US" w:eastAsia="zh-CN"/>
        </w:rPr>
      </w:pPr>
      <w:r>
        <w:rPr>
          <w:rFonts w:hint="default" w:ascii="黑体" w:hAnsi="黑体" w:eastAsia="黑体" w:cs="黑体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760085" cy="7441565"/>
            <wp:effectExtent l="0" t="0" r="2540" b="6985"/>
            <wp:docPr id="6" name="图片 6" descr="857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57-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黑体" w:hAnsi="黑体" w:eastAsia="黑体" w:cs="黑体"/>
          <w:sz w:val="28"/>
          <w:szCs w:val="28"/>
          <w:highlight w:val="none"/>
          <w:lang w:val="en-US" w:eastAsia="zh-CN"/>
        </w:rPr>
      </w:pPr>
      <w:r>
        <w:rPr>
          <w:rFonts w:hint="default" w:ascii="黑体" w:hAnsi="黑体" w:eastAsia="黑体" w:cs="黑体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760085" cy="7795895"/>
            <wp:effectExtent l="0" t="0" r="2540" b="5080"/>
            <wp:docPr id="7" name="图片 7" descr="857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57-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79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黑体" w:hAnsi="黑体" w:eastAsia="黑体" w:cs="黑体"/>
          <w:sz w:val="28"/>
          <w:szCs w:val="28"/>
          <w:highlight w:val="none"/>
          <w:lang w:val="en-US" w:eastAsia="zh-CN"/>
        </w:rPr>
      </w:pPr>
      <w:bookmarkStart w:id="0" w:name="_GoBack"/>
      <w:r>
        <w:rPr>
          <w:rFonts w:hint="default" w:ascii="黑体" w:hAnsi="黑体" w:eastAsia="黑体" w:cs="黑体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760085" cy="5209540"/>
            <wp:effectExtent l="0" t="0" r="2540" b="635"/>
            <wp:docPr id="8" name="图片 8" descr="87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75-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以上信息仅供参考</w:t>
      </w:r>
    </w:p>
    <w:sectPr>
      <w:pgSz w:w="11906" w:h="16838"/>
      <w:pgMar w:top="1928" w:right="1417" w:bottom="1701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CCEBC5"/>
    <w:multiLevelType w:val="singleLevel"/>
    <w:tmpl w:val="62CCEBC5"/>
    <w:lvl w:ilvl="0" w:tentative="0">
      <w:start w:val="1"/>
      <w:numFmt w:val="chineseCounting"/>
      <w:suff w:val="nothing"/>
      <w:lvlText w:val="%1、"/>
      <w:lvlJc w:val="left"/>
      <w:pPr>
        <w:ind w:left="910" w:firstLine="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hNWI1N2M2OGQ4MTA0ZDBkNTg2ZjBlYzczOTllYWUifQ=="/>
  </w:docVars>
  <w:rsids>
    <w:rsidRoot w:val="00000000"/>
    <w:rsid w:val="52BB7E9C"/>
    <w:rsid w:val="6D33628C"/>
    <w:rsid w:val="6DF1224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ody Text Indent"/>
    <w:basedOn w:val="1"/>
    <w:link w:val="12"/>
    <w:qFormat/>
    <w:uiPriority w:val="0"/>
    <w:pPr>
      <w:spacing w:line="440" w:lineRule="atLeast"/>
      <w:ind w:firstLine="482"/>
    </w:pPr>
    <w:rPr>
      <w:sz w:val="24"/>
    </w:r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annotation reference"/>
    <w:basedOn w:val="8"/>
    <w:unhideWhenUsed/>
    <w:qFormat/>
    <w:uiPriority w:val="99"/>
    <w:rPr>
      <w:sz w:val="21"/>
      <w:szCs w:val="21"/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正文文本缩进 字符"/>
    <w:basedOn w:val="8"/>
    <w:link w:val="3"/>
    <w:qFormat/>
    <w:uiPriority w:val="0"/>
    <w:rPr>
      <w:rFonts w:ascii="Times New Roman" w:hAnsi="Times New Roman" w:eastAsia="宋体" w:cs="Times New Roman"/>
      <w:sz w:val="24"/>
      <w:szCs w:val="20"/>
    </w:rPr>
  </w:style>
  <w:style w:type="character" w:customStyle="1" w:styleId="13">
    <w:name w:val="批注框文本 字符"/>
    <w:basedOn w:val="8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921</Words>
  <Characters>958</Characters>
  <Lines>5</Lines>
  <Paragraphs>1</Paragraphs>
  <TotalTime>18</TotalTime>
  <ScaleCrop>false</ScaleCrop>
  <LinksUpToDate>false</LinksUpToDate>
  <CharactersWithSpaces>965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2019-09-10T15:11:00Z</dcterms:created>
  <dc:creator>lenovo</dc:creator>
  <cp:lastModifiedBy>辛明阳</cp:lastModifiedBy>
  <dcterms:modified xsi:type="dcterms:W3CDTF">2022-09-16T07:02:27Z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21A4AB3D14DC41C8AE55B7034A2C0706</vt:lpwstr>
  </property>
</Properties>
</file>