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862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中、西音乐史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中、西音乐史是音乐学、音乐专业硕士生入学考试的业务课。考试对象为参加音乐学、音乐专业202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pStyle w:val="3"/>
        <w:spacing w:line="40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一、中国音乐史部分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（一）上古音乐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1.上古时期乐舞、歌舞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2.礼乐制度，乐器与分类法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3.乐律学与美学理论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（二）中古音乐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1.中古歌舞音乐形式与特点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2.中古音乐机构，乐律学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3.乐器与器乐，记谱法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（三）近古音乐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1.散曲、词调歌曲及民歌的特点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2.说唱、戏曲音乐的发展与特点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3.乐律学与音乐论著，记谱法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4.乐器与器乐，合奏音乐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（四）近现代音乐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1.学堂乐歌以及相关音乐家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2.萧友梅等音乐家及其成就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3.新型音乐社团和专业音乐机构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4.抗战时期主要音乐家及其成就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5.国统区音乐家及音乐创作，秧歌剧与新歌剧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6.1949年以后的声乐创作、歌舞剧音乐及其代表作品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7.1949年以后的器乐创作及其代表作品</w:t>
      </w:r>
    </w:p>
    <w:p>
      <w:pPr>
        <w:pStyle w:val="3"/>
        <w:spacing w:line="40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二、西方音乐史部分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（一）古希腊和罗马时期音乐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1.古希腊音乐特点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2.古希腊音乐理论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（二）5世纪-16世纪音乐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1.格里高利圣咏与复调音乐的发展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2.14世纪新艺术、世俗音乐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3.15世纪欧洲北方音乐家及其成就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4.16世纪世俗音乐及其特点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5.宗教改革与反宗教改革音乐、威尼斯乐派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（三）17世纪-18世纪音乐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巴洛克音乐特点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巴洛克器乐体裁及其发展特点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巴洛克声乐体裁及其发展特点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巴洛克时期音乐家及其成就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古典主义时期音乐家及其成就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前古典主义时期的器乐与歌剧发展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（五）19世纪-20世纪音乐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浪漫主义音乐家及其音乐创作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19世纪意大利、法国歌剧的发展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19世纪民族主义音乐家及其成就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世纪之交的德、法、意音乐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20世纪音乐发展特点及主要音乐流派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偶然音乐、噪音音乐等其它音乐类型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pStyle w:val="3"/>
        <w:spacing w:line="400" w:lineRule="atLeast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本科目无需使用计算器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单项选择题（共30分，15小题，每题2分）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名词解释题（共50分，10小题，每题5分）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简答题（共45分，3小题，每题15分）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论述题（共25分，1小题）</w:t>
      </w:r>
    </w:p>
    <w:p>
      <w:pPr>
        <w:pStyle w:val="6"/>
        <w:spacing w:line="560" w:lineRule="exact"/>
        <w:ind w:left="420" w:firstLine="0" w:firstLineChars="0"/>
        <w:rPr>
          <w:color w:val="00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注：试题导语信息最终以试题命制为准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于润洋编著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西方音乐通史（修订版），上海音乐出版社，2016</w:t>
      </w:r>
      <w:r>
        <w:rPr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陈秉义著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中国音乐通史概述（第三版），西南师范大学出版社，2013.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</w:rPr>
        <w:t>汪毓和著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中国近现代音乐史（第三版），人民音乐出版社，2009.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3060065" cy="3060065"/>
            <wp:effectExtent l="0" t="0" r="6985" b="6985"/>
            <wp:docPr id="3" name="图片 3" descr="西方音乐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西方音乐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3060065" cy="3060065"/>
            <wp:effectExtent l="0" t="0" r="6985" b="6985"/>
            <wp:docPr id="2" name="图片 2" descr="中国音乐通史概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国音乐通史概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3060065" cy="4145280"/>
            <wp:effectExtent l="0" t="0" r="6985" b="7620"/>
            <wp:docPr id="1" name="图片 1" descr="中国近现代音乐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近现代音乐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sz w:val="32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F778D4"/>
    <w:multiLevelType w:val="singleLevel"/>
    <w:tmpl w:val="D3F778D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55BB93B"/>
    <w:multiLevelType w:val="singleLevel"/>
    <w:tmpl w:val="F55BB9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BE5FC7"/>
    <w:rsid w:val="004F54E0"/>
    <w:rsid w:val="00564AD8"/>
    <w:rsid w:val="00654355"/>
    <w:rsid w:val="00926FE1"/>
    <w:rsid w:val="00BE5FC7"/>
    <w:rsid w:val="00FD0A3B"/>
    <w:rsid w:val="051B546E"/>
    <w:rsid w:val="0B1A6A4B"/>
    <w:rsid w:val="1E1331B8"/>
    <w:rsid w:val="1E4B2AA3"/>
    <w:rsid w:val="25E464DB"/>
    <w:rsid w:val="263A3326"/>
    <w:rsid w:val="327D468A"/>
    <w:rsid w:val="33ED4057"/>
    <w:rsid w:val="353027B7"/>
    <w:rsid w:val="3AC46FD5"/>
    <w:rsid w:val="3FFC3008"/>
    <w:rsid w:val="44342DFF"/>
    <w:rsid w:val="44864AB7"/>
    <w:rsid w:val="46257BC0"/>
    <w:rsid w:val="48FC0181"/>
    <w:rsid w:val="4C615114"/>
    <w:rsid w:val="4D6B0BCB"/>
    <w:rsid w:val="538135FF"/>
    <w:rsid w:val="595B0EFE"/>
    <w:rsid w:val="5BC35FF1"/>
    <w:rsid w:val="5E7E2BA2"/>
    <w:rsid w:val="5F3601A6"/>
    <w:rsid w:val="676626C3"/>
    <w:rsid w:val="6A1426CE"/>
    <w:rsid w:val="6B025411"/>
    <w:rsid w:val="6B6C400D"/>
    <w:rsid w:val="6BD9463B"/>
    <w:rsid w:val="75B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40" w:lineRule="atLeast"/>
      <w:ind w:firstLine="482"/>
    </w:pPr>
    <w:rPr>
      <w:sz w:val="24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990</Words>
  <Characters>1072</Characters>
  <Lines>7</Lines>
  <Paragraphs>2</Paragraphs>
  <TotalTime>0</TotalTime>
  <ScaleCrop>false</ScaleCrop>
  <LinksUpToDate>false</LinksUpToDate>
  <CharactersWithSpaces>1134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2022-09-16T00:41:06Z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1F6F97B6F582471A956CF39B3BC35189</vt:lpwstr>
  </property>
</Properties>
</file>