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drawing>
          <wp:inline distT="0" distB="0" distL="114300" distR="114300">
            <wp:extent cx="3655060" cy="593725"/>
            <wp:effectExtent l="0" t="0" r="2540" b="1587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硕士研究生招生考试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《综合化学》科目大纲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（科目代码：947）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480" w:lineRule="auto"/>
        <w:ind w:firstLine="1920" w:firstLineChars="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化学化工学院</w:t>
      </w:r>
      <w:r>
        <w:rPr>
          <w:sz w:val="32"/>
          <w:szCs w:val="32"/>
          <w:u w:val="single"/>
        </w:rPr>
        <w:t xml:space="preserve">      </w:t>
      </w:r>
    </w:p>
    <w:p>
      <w:pPr>
        <w:spacing w:line="480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学院负责人（签字）：</w:t>
      </w:r>
      <w:r>
        <w:rPr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</w:rPr>
        <w:t xml:space="preserve"> </w:t>
      </w:r>
    </w:p>
    <w:p>
      <w:pPr>
        <w:spacing w:line="480" w:lineRule="auto"/>
        <w:ind w:firstLine="1920" w:firstLineChars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2022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>25</w:t>
      </w:r>
      <w:r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 xml:space="preserve">   </w:t>
      </w:r>
    </w:p>
    <w:p>
      <w:pPr>
        <w:jc w:val="center"/>
        <w:rPr>
          <w:rFonts w:hint="eastAsia" w:ascii="黑体" w:hAnsi="宋体" w:eastAsia="黑体"/>
          <w:b/>
          <w:color w:val="00000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《综合化学》科目大纲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（科目代码：947）</w:t>
      </w:r>
    </w:p>
    <w:p>
      <w:pPr>
        <w:ind w:firstLine="465"/>
        <w:jc w:val="center"/>
        <w:rPr>
          <w:rFonts w:hint="eastAsia" w:ascii="宋体" w:hAnsi="宋体"/>
          <w:color w:val="000000"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一、考核要求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综合化学课程内容含盖无机化学、分析化学与仪器分析基础。</w:t>
      </w:r>
      <w:r>
        <w:rPr>
          <w:rFonts w:hint="eastAsia"/>
          <w:color w:val="000000"/>
        </w:rPr>
        <w:t>要求考生熟练掌握相关课程的基本概念、基本原理及计算方法。</w:t>
      </w:r>
    </w:p>
    <w:p>
      <w:pPr>
        <w:jc w:val="center"/>
        <w:rPr>
          <w:rFonts w:hint="eastAsia" w:ascii="仿宋_GB2312" w:eastAsia="仿宋_GB2312"/>
          <w:b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二、考核目标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综合化学考试在考查基本知识、基本理论的基础上，注重考查考生灵活运用这些基础知识观察和解决实际问题的能力。它的评价标准是高等学校优秀毕业生能达到及格或及格以上水平，以保证被录取者具有较扎实的相关课程的基础知识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三、考核内容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/>
          <w:b/>
          <w:color w:val="000000"/>
        </w:rPr>
        <w:t>第一章、</w:t>
      </w:r>
      <w:r>
        <w:rPr>
          <w:rFonts w:hint="eastAsia" w:ascii="宋体" w:hAnsi="宋体"/>
          <w:b/>
          <w:szCs w:val="21"/>
        </w:rPr>
        <w:t>原子结构与元素周期系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玻尔理论、四个量子数、原子核外电子的排布、元素周期律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第二章、分子结构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价层电子对互斥理论、杂化理论、分子轨道理论、等电子体原理、分子间力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第三章、晶体结构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离子晶体、金属晶体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第四章、配合物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配合物基本概念、配合物价键理论、配合物晶体场理论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第五章、化学热力学基础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化学热力学函数在化学反应中的应用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第六章、化学平衡常数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化学平衡，化学平衡的移动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第七章、化学动力学基础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化学反应速率，温度、浓度、催化剂对化学反应速率的影响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第八章、水溶液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非电解质稀溶液的通性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第九章、酸碱平衡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酸碱质子理论、水溶液化学平衡的计算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第十章、沉淀溶解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沉淀溶解平衡常数的应用，沉淀的转化与生成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第十一章、电化学基础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原电池、 标准电极电势、能斯特方程的应用、电极电势的计算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第十二章、配位平衡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配合物的稳定常数、配位离解平衡、配合物的性质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第十三章、氢和稀有气体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氢的化学性质和氢化物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第十四章、卤素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元素电势图、卤素的制备和用途</w:t>
      </w:r>
    </w:p>
    <w:p>
      <w:pPr>
        <w:spacing w:line="360" w:lineRule="auto"/>
        <w:ind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第十五章、氧族元素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氧及其化合物</w:t>
      </w:r>
    </w:p>
    <w:p>
      <w:pPr>
        <w:spacing w:line="360" w:lineRule="auto"/>
        <w:ind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第十六章、非金属元素小结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含氧酸、非金属含氧酸盐的性质</w:t>
      </w:r>
    </w:p>
    <w:p>
      <w:pPr>
        <w:spacing w:line="360" w:lineRule="auto"/>
        <w:ind w:firstLine="306" w:firstLineChars="145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第十七章、ds区金属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铜族元素的重要化合物、 锌族元素的重要化合物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第十八章、d区金属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第一过渡系元素的基本性质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第十九章、定性分析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定性分析的灵敏度与选择性、 空白试验与对照试验、 系统分析与分别分析、阴阳离子分析与鉴定</w:t>
      </w:r>
    </w:p>
    <w:p>
      <w:pPr>
        <w:spacing w:line="360" w:lineRule="auto"/>
        <w:ind w:left="468" w:leftChars="200" w:hanging="48" w:hangingChars="23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第二十章、误差和分析数据处理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误差及其产生的原因、测定值的准确度与精密度及其相关计算、随机误差的分布规律、有限测定数据的统计处理、有效数字及其运算规则、提高分析结果准确度的方法</w:t>
      </w:r>
    </w:p>
    <w:p>
      <w:pPr>
        <w:spacing w:line="360" w:lineRule="auto"/>
        <w:ind w:left="468" w:leftChars="200" w:hanging="48" w:hangingChars="23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第二十一章、滴定分析法概论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滴定分析的基本概念、滴定分析法对滴定反应的要求、标准溶液浓度表示方法及其相关计算、标准溶液的配制与标定、滴定分析计算</w:t>
      </w:r>
    </w:p>
    <w:p>
      <w:pPr>
        <w:spacing w:line="360" w:lineRule="auto"/>
        <w:ind w:left="158" w:leftChars="75" w:firstLine="207" w:firstLineChars="98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第二十二章、酸碱滴定法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酸碱质子理论、酸碱反应平衡常数与共轭酸碱对、电荷平衡与物料平衡、质子平衡、酸碱体系中各型体的分布、酸碱体系酸度计算、缓冲溶液配制与相关计算、酸碱指示剂的变色原理、酸碱滴定的可行性判据、终点误差、酸碱滴定法的应用</w:t>
      </w:r>
    </w:p>
    <w:p>
      <w:pPr>
        <w:spacing w:line="360" w:lineRule="auto"/>
        <w:ind w:left="785" w:leftChars="200" w:hanging="365" w:hangingChars="173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第二十三章、络合滴定法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络合滴定剂、溶液中各级络合物型体的分布、络合滴定中的副反应及条件形成常数、络合滴定曲线及突跃范围、络合滴定指示剂的作用原理及常见的络合滴定指示剂、指示剂的封闭与僵化现象、络合滴定的终点误差与滴定条件选择、提高络合滴定选择性的方法、络合滴定法的应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第二十四章、氧化还原滴定法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氧化还原平衡与条件电位、氧化还原反应进行的程度、氧化还原速率及其影响因素、氧化还原滴定曲线及其相关计算、氧化还原滴定指示剂的变色原理与常见指示剂、氧化还原滴定方法、氧化还原滴定计算</w:t>
      </w:r>
    </w:p>
    <w:p>
      <w:pPr>
        <w:spacing w:line="360" w:lineRule="auto"/>
        <w:ind w:left="-2" w:leftChars="-1"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第二十五章、沉淀滴定法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沉淀滴定法的条件、莫尔法、佛尔哈德法及法扬司法的原理及滴定条件、沉淀滴定法的应用</w:t>
      </w:r>
    </w:p>
    <w:p>
      <w:pPr>
        <w:spacing w:line="360" w:lineRule="auto"/>
        <w:ind w:left="-2" w:leftChars="-1" w:firstLine="310" w:firstLineChars="147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第二十六章、重量分析法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重量分析法的特点及分类、沉淀重量法对沉淀的要求、化学因素、沉淀溶解度及其影响因素、沉淀的形成、沉淀纯度及其影响因素、沉淀条件、常见有机沉淀剂、重量分析结果的计算</w:t>
      </w:r>
    </w:p>
    <w:p>
      <w:pPr>
        <w:spacing w:line="360" w:lineRule="auto"/>
        <w:ind w:left="1"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第二十七章、吸光光度法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光吸收曲线、光吸收定律及其意义、标准曲线及其应用、偏离光吸收定律的因素、分光光度计、吸光光度法的分析条件选择、吸光光度法的误差、单组分及多组分的分光光度测定、示差分光光度法的原理与应用、络合物组成及酸碱解离常数的测定原理及方法、双波长分光光度法</w:t>
      </w:r>
    </w:p>
    <w:p>
      <w:pPr>
        <w:spacing w:line="360" w:lineRule="auto"/>
        <w:ind w:left="1"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第二十八章、常用的分离与富集方法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常用的分离与富集方法原理与计算、应用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第二十九章、定量分析的一般步骤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试样采取与制备、试样分解、测定方法选择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第三十章、常见的仪器分析方法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常见仪器分析方法的原理与应用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《无机化学》，北师大等编，高等教育出版社第四版（2010）《分析化学》（21世纪教材），武汉大学主编，高等教育出版社第四版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4"/>
    <w:rsid w:val="000107B0"/>
    <w:rsid w:val="0007552E"/>
    <w:rsid w:val="000830CC"/>
    <w:rsid w:val="000B33D6"/>
    <w:rsid w:val="000C115F"/>
    <w:rsid w:val="000C7768"/>
    <w:rsid w:val="00141205"/>
    <w:rsid w:val="001B370B"/>
    <w:rsid w:val="0020393A"/>
    <w:rsid w:val="00252A65"/>
    <w:rsid w:val="00264ABD"/>
    <w:rsid w:val="00287ADB"/>
    <w:rsid w:val="002A129F"/>
    <w:rsid w:val="0030782B"/>
    <w:rsid w:val="003303C7"/>
    <w:rsid w:val="003711F8"/>
    <w:rsid w:val="00390EB1"/>
    <w:rsid w:val="00395140"/>
    <w:rsid w:val="003B1158"/>
    <w:rsid w:val="003B33F6"/>
    <w:rsid w:val="004076F2"/>
    <w:rsid w:val="004132D7"/>
    <w:rsid w:val="00424D36"/>
    <w:rsid w:val="004529A8"/>
    <w:rsid w:val="00465981"/>
    <w:rsid w:val="004756AE"/>
    <w:rsid w:val="00486D43"/>
    <w:rsid w:val="004F4A0A"/>
    <w:rsid w:val="004F4CC7"/>
    <w:rsid w:val="00521583"/>
    <w:rsid w:val="005402B8"/>
    <w:rsid w:val="00545C24"/>
    <w:rsid w:val="00547925"/>
    <w:rsid w:val="005803ED"/>
    <w:rsid w:val="0059104E"/>
    <w:rsid w:val="00593B95"/>
    <w:rsid w:val="005C19F0"/>
    <w:rsid w:val="005D48C5"/>
    <w:rsid w:val="005D7EE6"/>
    <w:rsid w:val="006226CC"/>
    <w:rsid w:val="00622B17"/>
    <w:rsid w:val="00630383"/>
    <w:rsid w:val="0063233F"/>
    <w:rsid w:val="00662FDC"/>
    <w:rsid w:val="0066375F"/>
    <w:rsid w:val="00675236"/>
    <w:rsid w:val="00687E72"/>
    <w:rsid w:val="006A6797"/>
    <w:rsid w:val="006D631B"/>
    <w:rsid w:val="00761EB8"/>
    <w:rsid w:val="00761F6B"/>
    <w:rsid w:val="007757A7"/>
    <w:rsid w:val="00781B8D"/>
    <w:rsid w:val="007A7653"/>
    <w:rsid w:val="007C3DC2"/>
    <w:rsid w:val="007E57A4"/>
    <w:rsid w:val="007E6858"/>
    <w:rsid w:val="0083441B"/>
    <w:rsid w:val="00854F70"/>
    <w:rsid w:val="008677A4"/>
    <w:rsid w:val="00870FD8"/>
    <w:rsid w:val="0087728A"/>
    <w:rsid w:val="00882E85"/>
    <w:rsid w:val="008B626C"/>
    <w:rsid w:val="008D2C8D"/>
    <w:rsid w:val="008D47B0"/>
    <w:rsid w:val="00950767"/>
    <w:rsid w:val="00951DC4"/>
    <w:rsid w:val="00954DAF"/>
    <w:rsid w:val="00983AE5"/>
    <w:rsid w:val="009D2DC9"/>
    <w:rsid w:val="009E6494"/>
    <w:rsid w:val="009F530D"/>
    <w:rsid w:val="00A122CB"/>
    <w:rsid w:val="00A17D00"/>
    <w:rsid w:val="00A701FC"/>
    <w:rsid w:val="00AA79DD"/>
    <w:rsid w:val="00B01533"/>
    <w:rsid w:val="00B40DF0"/>
    <w:rsid w:val="00B66B00"/>
    <w:rsid w:val="00B67515"/>
    <w:rsid w:val="00BF02E3"/>
    <w:rsid w:val="00C00AD4"/>
    <w:rsid w:val="00C4235D"/>
    <w:rsid w:val="00C511F5"/>
    <w:rsid w:val="00D10159"/>
    <w:rsid w:val="00D115EB"/>
    <w:rsid w:val="00D2679A"/>
    <w:rsid w:val="00DA77C6"/>
    <w:rsid w:val="00DC617C"/>
    <w:rsid w:val="00DD2B2E"/>
    <w:rsid w:val="00E01ABC"/>
    <w:rsid w:val="00E27D8F"/>
    <w:rsid w:val="00E513A6"/>
    <w:rsid w:val="00E6182E"/>
    <w:rsid w:val="00E627BD"/>
    <w:rsid w:val="00E83D4E"/>
    <w:rsid w:val="00EF3848"/>
    <w:rsid w:val="00F2040C"/>
    <w:rsid w:val="00F36C30"/>
    <w:rsid w:val="00F526A5"/>
    <w:rsid w:val="00F7242A"/>
    <w:rsid w:val="00F74669"/>
    <w:rsid w:val="00F904EC"/>
    <w:rsid w:val="00F96434"/>
    <w:rsid w:val="00F977E1"/>
    <w:rsid w:val="00FC3F1D"/>
    <w:rsid w:val="00FC71B3"/>
    <w:rsid w:val="00FE1686"/>
    <w:rsid w:val="1BE165B3"/>
    <w:rsid w:val="21D71708"/>
    <w:rsid w:val="7B266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287</Words>
  <Characters>1642</Characters>
  <Lines>13</Lines>
  <Paragraphs>3</Paragraphs>
  <TotalTime>0</TotalTime>
  <ScaleCrop>false</ScaleCrop>
  <LinksUpToDate>false</LinksUpToDate>
  <CharactersWithSpaces>1926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2010-11-22T00:51:00Z</dcterms:created>
  <dc:creator>yw</dc:creator>
  <cp:lastModifiedBy>vertesyuan</cp:lastModifiedBy>
  <dcterms:modified xsi:type="dcterms:W3CDTF">2022-09-08T07:14:24Z</dcterms:modified>
  <dc:title>硕士研究生综合化学课程考试大纲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7AA5BC825E3C401C84376BEFDBE220B3</vt:lpwstr>
  </property>
</Properties>
</file>