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36"/>
          <w:szCs w:val="36"/>
        </w:rPr>
      </w:pPr>
      <w:r>
        <w:rPr>
          <w:rFonts w:hint="eastAsia" w:ascii="黑体" w:hAnsi="华文中宋" w:eastAsia="黑体"/>
          <w:b/>
          <w:sz w:val="36"/>
          <w:szCs w:val="36"/>
        </w:rPr>
        <w:t>《</w:t>
      </w:r>
      <w:r>
        <w:rPr>
          <w:rFonts w:hint="eastAsia" w:ascii="黑体" w:hAnsi="宋体" w:eastAsia="黑体"/>
          <w:b/>
          <w:sz w:val="36"/>
          <w:szCs w:val="36"/>
        </w:rPr>
        <w:t>旅游资源开发与规划</w:t>
      </w:r>
      <w:r>
        <w:rPr>
          <w:rFonts w:hint="eastAsia" w:ascii="黑体" w:hAnsi="华文中宋" w:eastAsia="黑体"/>
          <w:b/>
          <w:sz w:val="36"/>
          <w:szCs w:val="36"/>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(科目代码：983)</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旅游学院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 年 6 月 26 日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240" w:lineRule="atLeast"/>
        <w:rPr>
          <w:rFonts w:hint="eastAsia" w:ascii="宋体" w:hAnsi="宋体" w:cs="宋体"/>
          <w:color w:val="5F7084"/>
          <w:kern w:val="0"/>
          <w:sz w:val="24"/>
        </w:rPr>
      </w:pPr>
    </w:p>
    <w:p>
      <w:pPr>
        <w:widowControl/>
        <w:jc w:val="center"/>
        <w:rPr>
          <w:rFonts w:hint="eastAsia" w:ascii="黑体" w:hAnsi="Calibri" w:eastAsia="黑体" w:cs="宋体"/>
          <w:b/>
          <w:kern w:val="0"/>
          <w:sz w:val="32"/>
          <w:szCs w:val="32"/>
        </w:rPr>
      </w:pPr>
      <w:r>
        <w:rPr>
          <w:rFonts w:ascii="宋体" w:hAnsi="宋体" w:cs="宋体"/>
          <w:color w:val="000000"/>
          <w:kern w:val="0"/>
          <w:sz w:val="24"/>
        </w:rPr>
        <w:t> </w:t>
      </w:r>
      <w:r>
        <w:rPr>
          <w:rFonts w:hint="eastAsia" w:ascii="黑体" w:hAnsi="Calibri" w:eastAsia="黑体" w:cs="宋体"/>
          <w:b/>
          <w:color w:val="000000"/>
          <w:kern w:val="0"/>
          <w:sz w:val="32"/>
          <w:szCs w:val="32"/>
        </w:rPr>
        <w:t>《旅游资源开发与规划》</w:t>
      </w:r>
      <w:r>
        <w:rPr>
          <w:rFonts w:hint="eastAsia" w:ascii="黑体" w:hAnsi="Calibri" w:eastAsia="黑体" w:cs="宋体"/>
          <w:b/>
          <w:kern w:val="0"/>
          <w:sz w:val="32"/>
          <w:szCs w:val="32"/>
        </w:rPr>
        <w:t>科目大纲</w:t>
      </w:r>
    </w:p>
    <w:p>
      <w:pPr>
        <w:widowControl/>
        <w:jc w:val="center"/>
        <w:rPr>
          <w:rFonts w:hint="eastAsia" w:ascii="黑体" w:hAnsi="宋体" w:eastAsia="黑体" w:cs="宋体"/>
          <w:color w:val="5F7084"/>
          <w:kern w:val="0"/>
          <w:sz w:val="32"/>
          <w:szCs w:val="32"/>
        </w:rPr>
      </w:pPr>
      <w:r>
        <w:rPr>
          <w:rFonts w:hint="eastAsia" w:ascii="黑体" w:hAnsi="Calibri" w:eastAsia="黑体" w:cs="宋体"/>
          <w:b/>
          <w:kern w:val="0"/>
          <w:sz w:val="32"/>
          <w:szCs w:val="32"/>
        </w:rPr>
        <w:t>（科目代码：983）</w:t>
      </w:r>
    </w:p>
    <w:p>
      <w:pPr>
        <w:widowControl/>
        <w:rPr>
          <w:rFonts w:hint="eastAsia" w:ascii="仿宋_GB2312" w:hAnsi="宋体" w:eastAsia="仿宋_GB2312" w:cs="宋体"/>
          <w:color w:val="5F7084"/>
          <w:kern w:val="0"/>
          <w:sz w:val="28"/>
          <w:szCs w:val="28"/>
        </w:rPr>
      </w:pPr>
      <w:r>
        <w:rPr>
          <w:rFonts w:hint="eastAsia" w:ascii="仿宋_GB2312" w:hAnsi="Calibri" w:eastAsia="仿宋_GB2312" w:cs="宋体"/>
          <w:b/>
          <w:color w:val="000000"/>
          <w:kern w:val="0"/>
          <w:sz w:val="28"/>
          <w:szCs w:val="28"/>
        </w:rPr>
        <w:t>一、考核要求</w:t>
      </w:r>
    </w:p>
    <w:p>
      <w:pPr>
        <w:widowControl/>
        <w:ind w:firstLine="420" w:firstLineChars="200"/>
        <w:rPr>
          <w:rFonts w:hint="eastAsia" w:ascii="仿宋_GB2312" w:hAnsi="宋体" w:eastAsia="仿宋_GB2312" w:cs="宋体"/>
          <w:color w:val="5F7084"/>
          <w:kern w:val="0"/>
          <w:szCs w:val="21"/>
        </w:rPr>
      </w:pPr>
      <w:r>
        <w:rPr>
          <w:rFonts w:hint="eastAsia" w:ascii="仿宋_GB2312" w:hAnsi="宋体" w:eastAsia="仿宋_GB2312" w:cs="宋体"/>
          <w:color w:val="000000"/>
          <w:kern w:val="0"/>
          <w:szCs w:val="21"/>
        </w:rPr>
        <w:t>《旅游资源开发与规划》旨在全面考察考生的旅游专业综合能力，对于旅游管理的国内外发展动态的了解，熟悉我国旅游业发展的方针、政策和法规，具有良好的身心素质。对旅游自然景观和博大精深的人文景观构成的旅游资源的了解，对旅游前沿动态和旅游资源的信息掌握程度。</w:t>
      </w:r>
    </w:p>
    <w:p>
      <w:pPr>
        <w:widowControl/>
        <w:rPr>
          <w:rFonts w:hint="eastAsia" w:ascii="仿宋_GB2312" w:hAnsi="宋体" w:eastAsia="仿宋_GB2312" w:cs="宋体"/>
          <w:color w:val="5F7084"/>
          <w:kern w:val="0"/>
          <w:szCs w:val="21"/>
        </w:rPr>
      </w:pPr>
      <w:r>
        <w:rPr>
          <w:rFonts w:hint="eastAsia" w:ascii="宋体" w:hAnsi="宋体" w:eastAsia="仿宋_GB2312" w:cs="宋体"/>
          <w:color w:val="000000"/>
          <w:kern w:val="0"/>
          <w:sz w:val="24"/>
        </w:rPr>
        <w:t> </w:t>
      </w:r>
      <w:r>
        <w:rPr>
          <w:rFonts w:hint="eastAsia" w:ascii="仿宋_GB2312" w:hAnsi="Calibri" w:eastAsia="仿宋_GB2312" w:cs="宋体"/>
          <w:b/>
          <w:color w:val="000000"/>
          <w:kern w:val="0"/>
          <w:sz w:val="28"/>
          <w:szCs w:val="28"/>
        </w:rPr>
        <w:t>二、考核评价目标</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1</w:t>
      </w:r>
      <w:r>
        <w:rPr>
          <w:rFonts w:hint="eastAsia" w:ascii="宋体" w:hAnsi="宋体" w:cs="宋体"/>
          <w:color w:val="000000"/>
          <w:kern w:val="0"/>
          <w:szCs w:val="21"/>
        </w:rPr>
        <w:t>、</w:t>
      </w:r>
      <w:r>
        <w:rPr>
          <w:rFonts w:hint="eastAsia" w:ascii="仿宋_GB2312" w:hAnsi="宋体" w:eastAsia="仿宋_GB2312" w:cs="宋体"/>
          <w:color w:val="000000"/>
          <w:kern w:val="0"/>
          <w:szCs w:val="21"/>
        </w:rPr>
        <w:t>具有良好的思想品德，对旅游业比较关注</w:t>
      </w:r>
      <w:r>
        <w:rPr>
          <w:rFonts w:hint="eastAsia" w:ascii="宋体" w:hAnsi="宋体" w:cs="宋体"/>
          <w:color w:val="000000"/>
          <w:kern w:val="0"/>
          <w:szCs w:val="21"/>
        </w:rPr>
        <w:t>。</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2、具有一定的旅游专业知识和对现阶段国内外旅游资源规划与开发的了解和认识</w:t>
      </w:r>
      <w:r>
        <w:rPr>
          <w:rFonts w:hint="eastAsia" w:ascii="宋体" w:hAnsi="宋体" w:cs="宋体"/>
          <w:color w:val="000000"/>
          <w:kern w:val="0"/>
          <w:szCs w:val="21"/>
        </w:rPr>
        <w:t>。</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3、对旅游现状能够发表自己的观点，提出一些可行性建议</w:t>
      </w:r>
      <w:r>
        <w:rPr>
          <w:rFonts w:hint="eastAsia" w:ascii="宋体" w:hAnsi="宋体" w:cs="宋体"/>
          <w:color w:val="000000"/>
          <w:kern w:val="0"/>
          <w:szCs w:val="21"/>
        </w:rPr>
        <w:t>。</w:t>
      </w:r>
    </w:p>
    <w:p>
      <w:pPr>
        <w:widowControl/>
        <w:rPr>
          <w:rFonts w:hint="eastAsia" w:ascii="仿宋_GB2312" w:hAnsi="Calibri" w:eastAsia="仿宋_GB2312" w:cs="宋体"/>
          <w:b/>
          <w:color w:val="000000"/>
          <w:kern w:val="0"/>
          <w:sz w:val="28"/>
          <w:szCs w:val="28"/>
        </w:rPr>
      </w:pPr>
      <w:r>
        <w:rPr>
          <w:rFonts w:hint="eastAsia" w:ascii="仿宋_GB2312" w:hAnsi="Calibri" w:eastAsia="仿宋_GB2312" w:cs="宋体"/>
          <w:b/>
          <w:color w:val="000000"/>
          <w:kern w:val="0"/>
          <w:sz w:val="28"/>
          <w:szCs w:val="28"/>
        </w:rPr>
        <w:t>三、考核内容</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本考试是一种测试应试者对旅游相关概念和综合应用能力的参考性水平的考试。参考书目是《旅游规划原理》，吴必虎、俞曦著，中国旅游出版社（2010）。主要考试内容如下：</w:t>
      </w:r>
    </w:p>
    <w:p>
      <w:pPr>
        <w:widowControl/>
        <w:ind w:left="735" w:leftChars="190" w:hanging="336" w:hangingChars="16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第一章 旅游研究与旅游规划</w:t>
      </w:r>
    </w:p>
    <w:p>
      <w:pPr>
        <w:widowControl/>
        <w:ind w:left="720" w:leftChars="343"/>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掌握旅游研究与旅游规划</w:t>
      </w:r>
    </w:p>
    <w:p>
      <w:pPr>
        <w:widowControl/>
        <w:ind w:left="735" w:leftChars="190" w:hanging="336" w:hangingChars="16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第二章 旅游市场分析与预测</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旅游市场数据收集与分析、旅游需求预测理论与技术</w:t>
      </w:r>
    </w:p>
    <w:p>
      <w:pPr>
        <w:widowControl/>
        <w:ind w:left="735" w:leftChars="190" w:hanging="336" w:hangingChars="16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第三章 旅游资源调查与评价</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旅游资源分类、旅游资源调查与创新、旅游资源利用价值评价、定价</w:t>
      </w:r>
    </w:p>
    <w:p>
      <w:pPr>
        <w:widowControl/>
        <w:ind w:left="735" w:leftChars="190" w:hanging="336" w:hangingChars="16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第四章 旅游产品(吸引物)开发</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旅游产品</w:t>
      </w:r>
      <w:r>
        <w:rPr>
          <w:rFonts w:hint="eastAsia" w:ascii="仿宋_GB2312" w:hAnsi="宋体" w:eastAsia="仿宋_GB2312" w:cs="宋体"/>
          <w:color w:val="000000"/>
          <w:kern w:val="0"/>
          <w:szCs w:val="21"/>
        </w:rPr>
        <w:t>开发</w:t>
      </w:r>
    </w:p>
    <w:p>
      <w:pPr>
        <w:widowControl/>
        <w:ind w:left="735" w:leftChars="190" w:hanging="336" w:hangingChars="16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第五章 旅游空间结构规划</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空间结构的基本理论</w:t>
      </w:r>
    </w:p>
    <w:p>
      <w:pPr>
        <w:widowControl/>
        <w:ind w:left="735" w:leftChars="190" w:hanging="336" w:hangingChars="16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第六章 目的地品牌建设和营销规划</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目的地营销概述</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规划</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目的地品牌建设地形象设计</w:t>
      </w:r>
    </w:p>
    <w:p>
      <w:pPr>
        <w:widowControl/>
        <w:ind w:left="735" w:leftChars="190" w:hanging="336" w:hangingChars="16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第七章 出行、旅游接待与服务规划</w:t>
      </w:r>
    </w:p>
    <w:p>
      <w:pPr>
        <w:widowControl/>
        <w:ind w:left="735" w:leftChars="340" w:hanging="21" w:hangingChars="1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出行系统规划、旅游接待规划、旅游服务规划</w:t>
      </w:r>
    </w:p>
    <w:p>
      <w:pPr>
        <w:widowControl/>
        <w:ind w:left="735" w:leftChars="200" w:hanging="315" w:hangingChars="1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第八章 旅游区规划</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旅游区规划概述、旅游区总体规划</w:t>
      </w:r>
    </w:p>
    <w:p>
      <w:pPr>
        <w:widowControl/>
        <w:ind w:left="735" w:leftChars="200" w:hanging="315" w:hangingChars="1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第九章 旅游规划影响评估与管理</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可持续旅游规划</w:t>
      </w:r>
      <w:r>
        <w:rPr>
          <w:rFonts w:hint="eastAsia" w:ascii="仿宋_GB2312" w:hAnsi="宋体" w:eastAsia="仿宋_GB2312" w:cs="宋体"/>
          <w:color w:val="000000"/>
          <w:kern w:val="0"/>
          <w:szCs w:val="21"/>
        </w:rPr>
        <w:t>及</w:t>
      </w:r>
      <w:r>
        <w:rPr>
          <w:rFonts w:ascii="仿宋_GB2312" w:hAnsi="宋体" w:eastAsia="仿宋_GB2312" w:cs="宋体"/>
          <w:color w:val="000000"/>
          <w:kern w:val="0"/>
          <w:szCs w:val="21"/>
        </w:rPr>
        <w:t>旅游规划影响评估与管理工具</w:t>
      </w:r>
    </w:p>
    <w:p>
      <w:pPr>
        <w:widowControl/>
        <w:ind w:left="735" w:leftChars="200" w:hanging="315" w:hangingChars="1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第十章 旅游规划实施与监控</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了解</w:t>
      </w:r>
      <w:r>
        <w:rPr>
          <w:rFonts w:ascii="仿宋_GB2312" w:hAnsi="宋体" w:eastAsia="仿宋_GB2312" w:cs="宋体"/>
          <w:color w:val="000000"/>
          <w:kern w:val="0"/>
          <w:szCs w:val="21"/>
        </w:rPr>
        <w:t>旅游规划实施过程及评估</w:t>
      </w:r>
      <w:r>
        <w:rPr>
          <w:rFonts w:hint="eastAsia" w:ascii="仿宋_GB2312" w:hAnsi="宋体" w:eastAsia="仿宋_GB2312" w:cs="宋体"/>
          <w:color w:val="000000"/>
          <w:kern w:val="0"/>
          <w:szCs w:val="21"/>
        </w:rPr>
        <w:t>及</w:t>
      </w:r>
      <w:r>
        <w:rPr>
          <w:rFonts w:ascii="仿宋_GB2312" w:hAnsi="宋体" w:eastAsia="仿宋_GB2312" w:cs="宋体"/>
          <w:color w:val="000000"/>
          <w:kern w:val="0"/>
          <w:szCs w:val="21"/>
        </w:rPr>
        <w:t>影响实施的外部因素</w:t>
      </w:r>
      <w:r>
        <w:rPr>
          <w:rFonts w:ascii="仿宋_GB2312" w:hAnsi="宋体" w:eastAsia="仿宋_GB2312" w:cs="宋体"/>
          <w:color w:val="000000"/>
          <w:kern w:val="0"/>
          <w:szCs w:val="21"/>
        </w:rPr>
        <w:br w:type="textWrapping"/>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MzA2YzEwYmI5NmEyNDI1MGM3Y2Q4YWVhZjIwNmUifQ=="/>
  </w:docVars>
  <w:rsids>
    <w:rsidRoot w:val="001E6A57"/>
    <w:rsid w:val="00064EAA"/>
    <w:rsid w:val="000B2728"/>
    <w:rsid w:val="000B5048"/>
    <w:rsid w:val="000C4E0C"/>
    <w:rsid w:val="0011248C"/>
    <w:rsid w:val="00162265"/>
    <w:rsid w:val="0017714C"/>
    <w:rsid w:val="001E6A57"/>
    <w:rsid w:val="00254943"/>
    <w:rsid w:val="00260FA8"/>
    <w:rsid w:val="002C2377"/>
    <w:rsid w:val="003432E3"/>
    <w:rsid w:val="0038513D"/>
    <w:rsid w:val="003F5D32"/>
    <w:rsid w:val="004A60BA"/>
    <w:rsid w:val="0050568E"/>
    <w:rsid w:val="0051150A"/>
    <w:rsid w:val="00522317"/>
    <w:rsid w:val="005A4BE8"/>
    <w:rsid w:val="005B7F2C"/>
    <w:rsid w:val="00617C5D"/>
    <w:rsid w:val="0063139E"/>
    <w:rsid w:val="00651AED"/>
    <w:rsid w:val="00660444"/>
    <w:rsid w:val="006B7F53"/>
    <w:rsid w:val="006C2467"/>
    <w:rsid w:val="00723647"/>
    <w:rsid w:val="00815AD0"/>
    <w:rsid w:val="00876818"/>
    <w:rsid w:val="008D0916"/>
    <w:rsid w:val="008E0434"/>
    <w:rsid w:val="00956761"/>
    <w:rsid w:val="00960CF5"/>
    <w:rsid w:val="00974934"/>
    <w:rsid w:val="00982951"/>
    <w:rsid w:val="009A7BF3"/>
    <w:rsid w:val="009D1F05"/>
    <w:rsid w:val="00A32150"/>
    <w:rsid w:val="00A8117E"/>
    <w:rsid w:val="00AA7E4E"/>
    <w:rsid w:val="00B94C5D"/>
    <w:rsid w:val="00C202B0"/>
    <w:rsid w:val="00C658CF"/>
    <w:rsid w:val="00C92784"/>
    <w:rsid w:val="00C92BAF"/>
    <w:rsid w:val="00D22622"/>
    <w:rsid w:val="00D27CF3"/>
    <w:rsid w:val="00D35FB3"/>
    <w:rsid w:val="00D43038"/>
    <w:rsid w:val="00D44606"/>
    <w:rsid w:val="00D5671B"/>
    <w:rsid w:val="00DA139A"/>
    <w:rsid w:val="00E44917"/>
    <w:rsid w:val="00E63E02"/>
    <w:rsid w:val="00EF1FE6"/>
    <w:rsid w:val="00F21B9C"/>
    <w:rsid w:val="00F42B59"/>
    <w:rsid w:val="00F66485"/>
    <w:rsid w:val="00F82A0F"/>
    <w:rsid w:val="00FB3373"/>
    <w:rsid w:val="0AA566D3"/>
    <w:rsid w:val="44AB124D"/>
    <w:rsid w:val="48854D34"/>
    <w:rsid w:val="5CD96171"/>
    <w:rsid w:val="6E6549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129</Words>
  <Characters>741</Characters>
  <Lines>6</Lines>
  <Paragraphs>1</Paragraphs>
  <TotalTime>0</TotalTime>
  <ScaleCrop>false</ScaleCrop>
  <LinksUpToDate>false</LinksUpToDate>
  <CharactersWithSpaces>869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2013-07-10T08:17:00Z</dcterms:created>
  <dc:creator>欢迎您</dc:creator>
  <cp:lastModifiedBy>vertesyuan</cp:lastModifiedBy>
  <dcterms:modified xsi:type="dcterms:W3CDTF">2022-09-08T07:15:51Z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76EEA05FD95B4BF6A05636959FD1BE3C</vt:lpwstr>
  </property>
</Properties>
</file>