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《公共政策学》硕士入学考试大纲</w:t>
      </w:r>
    </w:p>
    <w:p>
      <w:pPr>
        <w:spacing w:line="440" w:lineRule="exact"/>
        <w:ind w:firstLine="482" w:firstLineChars="200"/>
        <w:rPr>
          <w:rFonts w:ascii="宋体" w:hAnsi="宋体" w:cs="Tahoma"/>
          <w:b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eastAsia="楷体_GB2312"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参考书</w:t>
      </w:r>
      <w:r>
        <w:rPr>
          <w:rFonts w:eastAsia="楷体_GB2312"/>
          <w:color w:val="000000"/>
          <w:sz w:val="24"/>
        </w:rPr>
        <w:t>：</w:t>
      </w:r>
    </w:p>
    <w:p>
      <w:pPr>
        <w:spacing w:line="440" w:lineRule="exact"/>
        <w:ind w:firstLine="480" w:firstLineChars="2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陈庆云主编：《公共政策分析》</w:t>
      </w:r>
      <w:r>
        <w:rPr>
          <w:rFonts w:hint="eastAsia" w:eastAsia="楷体_GB2312"/>
          <w:color w:val="000000"/>
          <w:sz w:val="24"/>
          <w:lang w:eastAsia="zh-CN"/>
        </w:rPr>
        <w:t>（第二版）</w:t>
      </w:r>
      <w:r>
        <w:rPr>
          <w:rFonts w:eastAsia="楷体_GB2312"/>
          <w:color w:val="000000"/>
          <w:sz w:val="24"/>
        </w:rPr>
        <w:t>，北京大学出版社，2011年版。</w:t>
      </w:r>
    </w:p>
    <w:p>
      <w:pPr>
        <w:spacing w:line="440" w:lineRule="exact"/>
        <w:ind w:firstLine="480" w:firstLineChars="200"/>
        <w:rPr>
          <w:rFonts w:hint="default" w:eastAsia="楷体_GB2312"/>
          <w:color w:val="000000"/>
          <w:sz w:val="24"/>
          <w:lang w:val="en-US" w:eastAsia="zh-CN"/>
        </w:rPr>
      </w:pPr>
      <w:r>
        <w:rPr>
          <w:rFonts w:hint="eastAsia" w:eastAsia="楷体_GB2312"/>
          <w:color w:val="000000"/>
          <w:sz w:val="24"/>
          <w:lang w:val="en-US" w:eastAsia="zh-CN"/>
        </w:rPr>
        <w:t>陈振明编著：《公共政策分析导论》，中国人民大学出版社，2015年版。</w:t>
      </w:r>
    </w:p>
    <w:p>
      <w:pPr>
        <w:spacing w:line="440" w:lineRule="exact"/>
        <w:ind w:firstLine="482" w:firstLineChars="200"/>
        <w:rPr>
          <w:rFonts w:ascii="宋体" w:hAnsi="宋体" w:cs="Tahoma"/>
          <w:b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1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导论：公共政策分析的基本理论与框架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公共政策的本质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公共政策的基本特征与主要功能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公共政策分析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2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政府、市场与公共政策的关系分析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社会问题及其解决途径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市场失灵、政府失灵和志愿失灵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政府角色与公共政策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3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公共政策系统分析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公共政策主体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公共政策客体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公共政策环境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4. </w:t>
      </w:r>
      <w:r>
        <w:rPr>
          <w:rFonts w:ascii="宋体" w:hAnsi="宋体" w:cs="Tahoma"/>
          <w:color w:val="000000"/>
          <w:sz w:val="24"/>
        </w:rPr>
        <w:t>公共政策工具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4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公共政策问题的构建分析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公共政策问题概述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公共政策问题构建的程序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公共政策议程的建立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5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公共政策方案的制定分析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公共决策体制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政策方案规划的综合分析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政策方案规划的基本程序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4. </w:t>
      </w:r>
      <w:r>
        <w:rPr>
          <w:rFonts w:ascii="宋体" w:hAnsi="宋体" w:cs="Tahoma"/>
          <w:color w:val="000000"/>
          <w:sz w:val="24"/>
        </w:rPr>
        <w:t>公共政策合法化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6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公共政策内容的执行分析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政策执行的理论研究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公共政策执行的模型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公共政策执行过程与方式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7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公共政策效果的评价分析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公共政策评价概述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公共政策评价的操作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公共政策的终止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8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公共政策分析方法论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现代科学方法论与模型方法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数学分析的基本模型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事实、价值、规范与可行性分析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4. </w:t>
      </w:r>
      <w:r>
        <w:rPr>
          <w:rFonts w:ascii="宋体" w:hAnsi="宋体" w:cs="Tahoma"/>
          <w:color w:val="000000"/>
          <w:sz w:val="24"/>
        </w:rPr>
        <w:t>利益分析的内容及其实现途径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5. </w:t>
      </w:r>
      <w:r>
        <w:rPr>
          <w:rFonts w:ascii="宋体" w:hAnsi="宋体" w:cs="Tahoma"/>
          <w:color w:val="000000"/>
          <w:sz w:val="24"/>
        </w:rPr>
        <w:t>系统方法与系统分析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9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公共政策过程中的分析方法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构建公共政策问题的方法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政策备择方案的优化技术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预测及预测方法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4. </w:t>
      </w:r>
      <w:r>
        <w:rPr>
          <w:rFonts w:ascii="宋体" w:hAnsi="宋体" w:cs="Tahoma"/>
          <w:color w:val="000000"/>
          <w:sz w:val="24"/>
        </w:rPr>
        <w:t>政策效果评价方法</w:t>
      </w:r>
    </w:p>
    <w:p>
      <w:pPr>
        <w:spacing w:before="156" w:beforeLines="50" w:line="440" w:lineRule="exact"/>
        <w:ind w:firstLine="482" w:firstLineChars="200"/>
        <w:rPr>
          <w:rFonts w:hint="eastAsia" w:ascii="宋体" w:hAnsi="宋体" w:cs="Tahoma"/>
          <w:b/>
          <w:color w:val="000000"/>
          <w:sz w:val="24"/>
        </w:rPr>
      </w:pPr>
      <w:r>
        <w:rPr>
          <w:rFonts w:ascii="宋体" w:hAnsi="宋体" w:cs="Tahoma"/>
          <w:b/>
          <w:color w:val="000000"/>
          <w:sz w:val="24"/>
        </w:rPr>
        <w:t>第</w:t>
      </w:r>
      <w:r>
        <w:rPr>
          <w:rFonts w:hint="eastAsia" w:ascii="宋体" w:hAnsi="宋体" w:cs="Tahoma"/>
          <w:b/>
          <w:color w:val="000000"/>
          <w:sz w:val="24"/>
        </w:rPr>
        <w:t>10</w:t>
      </w:r>
      <w:r>
        <w:rPr>
          <w:rFonts w:ascii="宋体" w:hAnsi="宋体" w:cs="Tahoma"/>
          <w:b/>
          <w:color w:val="000000"/>
          <w:sz w:val="24"/>
        </w:rPr>
        <w:t>章</w:t>
      </w:r>
      <w:r>
        <w:rPr>
          <w:rFonts w:hint="eastAsia" w:ascii="宋体" w:hAnsi="宋体" w:cs="Tahoma"/>
          <w:b/>
          <w:color w:val="000000"/>
          <w:sz w:val="24"/>
        </w:rPr>
        <w:t xml:space="preserve"> </w:t>
      </w:r>
      <w:r>
        <w:rPr>
          <w:rFonts w:ascii="宋体" w:hAnsi="宋体" w:cs="Tahoma"/>
          <w:b/>
          <w:color w:val="000000"/>
          <w:sz w:val="24"/>
        </w:rPr>
        <w:t>公共政策分析模型与框架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1. </w:t>
      </w:r>
      <w:r>
        <w:rPr>
          <w:rFonts w:ascii="宋体" w:hAnsi="宋体" w:cs="Tahoma"/>
          <w:color w:val="000000"/>
          <w:sz w:val="24"/>
        </w:rPr>
        <w:t>公共政策的政治分析模型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2. </w:t>
      </w:r>
      <w:r>
        <w:rPr>
          <w:rFonts w:ascii="宋体" w:hAnsi="宋体" w:cs="Tahoma"/>
          <w:color w:val="000000"/>
          <w:sz w:val="24"/>
        </w:rPr>
        <w:t>公共政策的理性分析模型</w:t>
      </w:r>
    </w:p>
    <w:p>
      <w:pPr>
        <w:spacing w:line="440" w:lineRule="exact"/>
        <w:ind w:firstLine="480" w:firstLineChars="20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 xml:space="preserve">3. </w:t>
      </w:r>
      <w:r>
        <w:rPr>
          <w:rFonts w:ascii="宋体" w:hAnsi="宋体" w:cs="Tahoma"/>
          <w:color w:val="000000"/>
          <w:sz w:val="24"/>
        </w:rPr>
        <w:t>公共政策的分析框架</w:t>
      </w:r>
    </w:p>
    <w:p>
      <w:pPr>
        <w:spacing w:line="440" w:lineRule="exact"/>
        <w:ind w:firstLine="480" w:firstLineChars="200"/>
        <w:rPr>
          <w:rFonts w:eastAsia="楷体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39"/>
    <w:rsid w:val="00027272"/>
    <w:rsid w:val="000357C5"/>
    <w:rsid w:val="00097980"/>
    <w:rsid w:val="000D3C0D"/>
    <w:rsid w:val="000D7BBA"/>
    <w:rsid w:val="00113339"/>
    <w:rsid w:val="001B4E36"/>
    <w:rsid w:val="001F569A"/>
    <w:rsid w:val="00241F1F"/>
    <w:rsid w:val="002D4F2F"/>
    <w:rsid w:val="00332EAE"/>
    <w:rsid w:val="003D48DF"/>
    <w:rsid w:val="004175D6"/>
    <w:rsid w:val="004D2DD0"/>
    <w:rsid w:val="0052234D"/>
    <w:rsid w:val="00543954"/>
    <w:rsid w:val="005818ED"/>
    <w:rsid w:val="005949F0"/>
    <w:rsid w:val="005E595B"/>
    <w:rsid w:val="00612B8E"/>
    <w:rsid w:val="00623CB5"/>
    <w:rsid w:val="006526CF"/>
    <w:rsid w:val="00704A63"/>
    <w:rsid w:val="007348E0"/>
    <w:rsid w:val="007A1368"/>
    <w:rsid w:val="0080333C"/>
    <w:rsid w:val="00855448"/>
    <w:rsid w:val="008577A6"/>
    <w:rsid w:val="0096704C"/>
    <w:rsid w:val="009B362F"/>
    <w:rsid w:val="009D57CA"/>
    <w:rsid w:val="009E385E"/>
    <w:rsid w:val="00A101F0"/>
    <w:rsid w:val="00A437B2"/>
    <w:rsid w:val="00A95069"/>
    <w:rsid w:val="00B03B39"/>
    <w:rsid w:val="00B51110"/>
    <w:rsid w:val="00BB16CE"/>
    <w:rsid w:val="00BC66D4"/>
    <w:rsid w:val="00C14475"/>
    <w:rsid w:val="00C77791"/>
    <w:rsid w:val="00C93B96"/>
    <w:rsid w:val="00CF728B"/>
    <w:rsid w:val="00D13400"/>
    <w:rsid w:val="00DA076D"/>
    <w:rsid w:val="00DB432B"/>
    <w:rsid w:val="00DB6489"/>
    <w:rsid w:val="00DC1EC2"/>
    <w:rsid w:val="00DE7427"/>
    <w:rsid w:val="00DF4E7F"/>
    <w:rsid w:val="00E42622"/>
    <w:rsid w:val="00E4708F"/>
    <w:rsid w:val="00E61369"/>
    <w:rsid w:val="00E914E2"/>
    <w:rsid w:val="00EA39F2"/>
    <w:rsid w:val="00EF58E8"/>
    <w:rsid w:val="00F00FD0"/>
    <w:rsid w:val="00F70B6A"/>
    <w:rsid w:val="2CE85EC3"/>
    <w:rsid w:val="55F92A60"/>
    <w:rsid w:val="57C014F6"/>
    <w:rsid w:val="5AA90103"/>
    <w:rsid w:val="67844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微软用户</Company>
  <Pages>1</Pages>
  <Words>118</Words>
  <Characters>676</Characters>
  <Lines>5</Lines>
  <Paragraphs>1</Paragraphs>
  <TotalTime>10</TotalTime>
  <ScaleCrop>false</ScaleCrop>
  <LinksUpToDate>false</LinksUpToDate>
  <CharactersWithSpaces>793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2014-06-20T03:36:00Z</dcterms:created>
  <dc:creator>admin</dc:creator>
  <cp:lastModifiedBy>vertesyuan</cp:lastModifiedBy>
  <dcterms:modified xsi:type="dcterms:W3CDTF">2022-09-08T06:29:42Z</dcterms:modified>
  <dc:title>书名:公共政策分析（第2版）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DD1F404FD0744D20A3A26E0D03DCCE19</vt:lpwstr>
  </property>
</Properties>
</file>