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海南师范大学全国硕士研究生招生自命题考试大纲</w:t>
      </w:r>
    </w:p>
    <w:p>
      <w:pPr>
        <w:spacing w:line="360" w:lineRule="auto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考试科目代码：[-]          考试科目名称：经济学基础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一、考试形式与试卷结构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（一）试卷成绩及考试时间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本试卷满分为1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0分，考试时间为100分钟。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（二）答题方式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答题方式为闭卷、笔试。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.判断题：15小题，每小题2分，共30分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.简答题：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小题，每小题10分，共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.分析论述题：2小题，每小题25分，共50分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二、考试目标：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1.掌握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经济学</w:t>
      </w:r>
      <w:r>
        <w:rPr>
          <w:rFonts w:hint="eastAsia" w:ascii="仿宋" w:hAnsi="仿宋" w:eastAsia="仿宋" w:cs="仿宋"/>
          <w:sz w:val="28"/>
          <w:szCs w:val="28"/>
        </w:rPr>
        <w:t>的基本概念和基础知识。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2.理解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经济学</w:t>
      </w:r>
      <w:r>
        <w:rPr>
          <w:rFonts w:hint="eastAsia" w:ascii="仿宋" w:hAnsi="仿宋" w:eastAsia="仿宋" w:cs="仿宋"/>
          <w:sz w:val="28"/>
          <w:szCs w:val="28"/>
        </w:rPr>
        <w:t>的基本理论和基本方法。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3.运用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经济学</w:t>
      </w:r>
      <w:r>
        <w:rPr>
          <w:rFonts w:hint="eastAsia" w:ascii="仿宋" w:hAnsi="仿宋" w:eastAsia="仿宋" w:cs="仿宋"/>
          <w:sz w:val="28"/>
          <w:szCs w:val="28"/>
        </w:rPr>
        <w:t>的基本理论和方法来分析和解决现实问题。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三、考试范围：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ascii="仿宋" w:hAnsi="仿宋" w:eastAsia="仿宋" w:cs="仿宋"/>
          <w:sz w:val="28"/>
          <w:szCs w:val="28"/>
        </w:rPr>
        <w:t>商品供求与均衡价格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商品与货币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需求和需求的变动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供给和供给的变动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需求和供给的弹性理论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ascii="仿宋" w:hAnsi="仿宋" w:eastAsia="仿宋" w:cs="仿宋"/>
          <w:sz w:val="28"/>
          <w:szCs w:val="28"/>
        </w:rPr>
        <w:t>均衡价格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ascii="仿宋" w:hAnsi="仿宋" w:eastAsia="仿宋" w:cs="仿宋"/>
          <w:sz w:val="28"/>
          <w:szCs w:val="28"/>
        </w:rPr>
        <w:t>消费者行为理论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基数效用论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序数效用论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</w:t>
      </w:r>
      <w:r>
        <w:rPr>
          <w:rFonts w:ascii="仿宋" w:hAnsi="仿宋" w:eastAsia="仿宋" w:cs="仿宋"/>
          <w:sz w:val="28"/>
          <w:szCs w:val="28"/>
        </w:rPr>
        <w:t>企业、生产和成本理论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企业及其目标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生产函数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短期生产函数和要素合理投入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长期生产函数和规模经济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ascii="仿宋" w:hAnsi="仿宋" w:eastAsia="仿宋" w:cs="仿宋"/>
          <w:sz w:val="28"/>
          <w:szCs w:val="28"/>
        </w:rPr>
        <w:t>成本和成本函数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</w:t>
      </w:r>
      <w:r>
        <w:rPr>
          <w:rFonts w:ascii="仿宋" w:hAnsi="仿宋" w:eastAsia="仿宋" w:cs="仿宋"/>
          <w:sz w:val="28"/>
          <w:szCs w:val="28"/>
        </w:rPr>
        <w:t>短期成本和长期成本函数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</w:t>
      </w:r>
      <w:r>
        <w:rPr>
          <w:rFonts w:ascii="仿宋" w:hAnsi="仿宋" w:eastAsia="仿宋" w:cs="仿宋"/>
          <w:sz w:val="28"/>
          <w:szCs w:val="28"/>
        </w:rPr>
        <w:t>传统成本管理与现代成本管理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</w:t>
      </w:r>
      <w:r>
        <w:rPr>
          <w:rFonts w:ascii="仿宋" w:hAnsi="仿宋" w:eastAsia="仿宋" w:cs="仿宋"/>
          <w:sz w:val="28"/>
          <w:szCs w:val="28"/>
        </w:rPr>
        <w:t>完全竞争和完全垄断市场中价格和产量决定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有关厂商行为的几个概念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完全竞争市场中价格和产量的决定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完全垄断市场中价格和产量的决定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</w:t>
      </w:r>
      <w:r>
        <w:rPr>
          <w:rFonts w:ascii="仿宋" w:hAnsi="仿宋" w:eastAsia="仿宋" w:cs="仿宋"/>
          <w:sz w:val="28"/>
          <w:szCs w:val="28"/>
        </w:rPr>
        <w:t>垄断竞争市场与寡头市场中价格和产量的决定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垄断竞争市场中价格和产量的决定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寡头垄断市场中价格和产量的决定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要素价格与收入分配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生产要素的需求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生产要素的供给和价格决定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贫富差别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国民收入核算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从微观经济学到宏观经济学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国内生产总值的概念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有关核算国民收入的基本原理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核算国民收入的两种基本方法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国民收入决定：收入—支出模型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宏观均衡的概念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消费函数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两部门经济国民收入的决定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三部门和四部门经济国民收入的决定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ascii="仿宋" w:hAnsi="仿宋" w:eastAsia="仿宋" w:cs="仿宋"/>
          <w:sz w:val="28"/>
          <w:szCs w:val="28"/>
        </w:rPr>
        <w:t>潜在国民收入与缺口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国民收入决定：IS-LM模型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货币供求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利率决定、投资与收入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产品市场的均衡与IS曲线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货币市场的均衡与LM曲线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ascii="仿宋" w:hAnsi="仿宋" w:eastAsia="仿宋" w:cs="仿宋"/>
          <w:sz w:val="28"/>
          <w:szCs w:val="28"/>
        </w:rPr>
        <w:t>产品市场和货币市场的同时均衡与IS-LM模型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（十）</w:t>
      </w:r>
      <w:r>
        <w:rPr>
          <w:rFonts w:ascii="仿宋" w:hAnsi="仿宋" w:eastAsia="仿宋" w:cs="仿宋"/>
          <w:sz w:val="28"/>
          <w:szCs w:val="28"/>
        </w:rPr>
        <w:t>国民收入决定：AD-AS模型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总需求函数（AD函数）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总供给函数（AS函数）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总供给—总需求（AD-AS）模型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通货膨胀与失业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通货膨胀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失业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通货膨胀和失业的关系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宏观经济政策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财政政策及其效果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货币政策及其效果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财政政策和货币政策的混合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供给管理政策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四、主要参考书目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《西方经济学》上、下册（马克思主义理论研究和建设工程重点教材，第二版），西方经济学编写组（作者），高等教育出版社，2019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z w:val="28"/>
          <w:szCs w:val="28"/>
        </w:rPr>
        <w:t>《西方经济学</w:t>
      </w:r>
      <w:r>
        <w:rPr>
          <w:rFonts w:hint="eastAsia" w:ascii="仿宋" w:hAnsi="仿宋" w:eastAsia="仿宋" w:cs="仿宋"/>
          <w:sz w:val="28"/>
          <w:szCs w:val="28"/>
        </w:rPr>
        <w:t>教材（宏观+微观）</w:t>
      </w:r>
      <w:r>
        <w:rPr>
          <w:rFonts w:ascii="仿宋" w:hAnsi="仿宋" w:eastAsia="仿宋" w:cs="仿宋"/>
          <w:sz w:val="28"/>
          <w:szCs w:val="28"/>
        </w:rPr>
        <w:t>》（第</w:t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ascii="仿宋" w:hAnsi="仿宋" w:eastAsia="仿宋" w:cs="仿宋"/>
          <w:sz w:val="28"/>
          <w:szCs w:val="28"/>
        </w:rPr>
        <w:t>版）</w:t>
      </w:r>
      <w:r>
        <w:rPr>
          <w:rFonts w:hint="eastAsia" w:ascii="仿宋" w:hAnsi="仿宋" w:eastAsia="仿宋" w:cs="仿宋"/>
          <w:sz w:val="28"/>
          <w:szCs w:val="28"/>
        </w:rPr>
        <w:t>，高鸿业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中国人民大学</w:t>
      </w:r>
      <w:r>
        <w:rPr>
          <w:rFonts w:ascii="仿宋" w:hAnsi="仿宋" w:eastAsia="仿宋" w:cs="仿宋"/>
          <w:sz w:val="28"/>
          <w:szCs w:val="28"/>
        </w:rPr>
        <w:t>出版社，20</w:t>
      </w:r>
      <w:r>
        <w:rPr>
          <w:rFonts w:hint="eastAsia" w:ascii="仿宋" w:hAnsi="仿宋" w:eastAsia="仿宋" w:cs="仿宋"/>
          <w:sz w:val="28"/>
          <w:szCs w:val="28"/>
        </w:rPr>
        <w:t>18。</w:t>
      </w: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TlmNmYzMGI4ZDBmNTUxYjE5OTY1ODRiYzI1MmQifQ=="/>
  </w:docVars>
  <w:rsids>
    <w:rsidRoot w:val="000618D6"/>
    <w:rsid w:val="000004FA"/>
    <w:rsid w:val="0003414E"/>
    <w:rsid w:val="000618D6"/>
    <w:rsid w:val="000706BA"/>
    <w:rsid w:val="000D0BA8"/>
    <w:rsid w:val="000F5B61"/>
    <w:rsid w:val="001F43C3"/>
    <w:rsid w:val="00270FE2"/>
    <w:rsid w:val="002B794B"/>
    <w:rsid w:val="00330E58"/>
    <w:rsid w:val="0037423B"/>
    <w:rsid w:val="00461361"/>
    <w:rsid w:val="0047065C"/>
    <w:rsid w:val="004B0867"/>
    <w:rsid w:val="0051038B"/>
    <w:rsid w:val="005224D2"/>
    <w:rsid w:val="005A6491"/>
    <w:rsid w:val="00616B87"/>
    <w:rsid w:val="00637B77"/>
    <w:rsid w:val="006F3A5E"/>
    <w:rsid w:val="007C6872"/>
    <w:rsid w:val="007E44BE"/>
    <w:rsid w:val="008A7612"/>
    <w:rsid w:val="008E50B3"/>
    <w:rsid w:val="009418E3"/>
    <w:rsid w:val="009764CF"/>
    <w:rsid w:val="009C51E9"/>
    <w:rsid w:val="009C5B34"/>
    <w:rsid w:val="009E5A96"/>
    <w:rsid w:val="009F065C"/>
    <w:rsid w:val="00A17AA7"/>
    <w:rsid w:val="00A76BEA"/>
    <w:rsid w:val="00AC094B"/>
    <w:rsid w:val="00BD7EA3"/>
    <w:rsid w:val="00C73A20"/>
    <w:rsid w:val="00D0281C"/>
    <w:rsid w:val="00DF054B"/>
    <w:rsid w:val="00E403DD"/>
    <w:rsid w:val="00E86C45"/>
    <w:rsid w:val="00E95FE0"/>
    <w:rsid w:val="00FB7C89"/>
    <w:rsid w:val="14246DBF"/>
    <w:rsid w:val="158D4126"/>
    <w:rsid w:val="1A126F14"/>
    <w:rsid w:val="1D265AB4"/>
    <w:rsid w:val="242C4099"/>
    <w:rsid w:val="2B8E2ACE"/>
    <w:rsid w:val="3FDF5537"/>
    <w:rsid w:val="435A1AFD"/>
    <w:rsid w:val="43941091"/>
    <w:rsid w:val="5244358E"/>
    <w:rsid w:val="60092D61"/>
    <w:rsid w:val="67123602"/>
    <w:rsid w:val="755E3979"/>
    <w:rsid w:val="7A293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5</Pages>
  <Words>1009</Words>
  <Characters>1101</Characters>
  <Lines>28</Lines>
  <Paragraphs>8</Paragraphs>
  <TotalTime>7</TotalTime>
  <ScaleCrop>false</ScaleCrop>
  <LinksUpToDate>false</LinksUpToDate>
  <CharactersWithSpaces>1111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2017-07-13T01:41:00Z</dcterms:created>
  <dc:creator>1 1</dc:creator>
  <cp:lastModifiedBy>vertesyuan</cp:lastModifiedBy>
  <dcterms:modified xsi:type="dcterms:W3CDTF">2022-09-07T07:39:31Z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88B9EA3F97394CBEB9B137D74BC76276</vt:lpwstr>
  </property>
</Properties>
</file>