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ind w:left="1743" w:leftChars="608" w:hanging="466" w:hangingChars="145"/>
        <w:rPr>
          <w:rFonts w:hint="eastAsia" w:ascii="黑体" w:eastAsia="黑体"/>
          <w:b/>
          <w:sz w:val="32"/>
          <w:szCs w:val="32"/>
        </w:rPr>
      </w:pPr>
      <w:r>
        <w:rPr>
          <w:rFonts w:hint="eastAsia" w:ascii="黑体" w:eastAsia="黑体"/>
          <w:b/>
          <w:sz w:val="32"/>
          <w:szCs w:val="32"/>
        </w:rPr>
        <w:t>海南师范大学小学教育专业教育硕士研究生</w:t>
      </w:r>
    </w:p>
    <w:p>
      <w:pPr>
        <w:spacing w:after="156" w:afterLines="50" w:line="400" w:lineRule="exact"/>
        <w:ind w:left="1741" w:leftChars="829" w:firstLine="790" w:firstLineChars="246"/>
        <w:rPr>
          <w:rFonts w:hint="eastAsia" w:ascii="黑体" w:eastAsia="黑体"/>
          <w:sz w:val="32"/>
          <w:szCs w:val="32"/>
        </w:rPr>
      </w:pPr>
      <w:r>
        <w:rPr>
          <w:rFonts w:hint="eastAsia" w:ascii="黑体" w:eastAsia="黑体"/>
          <w:b/>
          <w:sz w:val="32"/>
          <w:szCs w:val="32"/>
        </w:rPr>
        <w:t>入学考试复试科目考试大纲</w:t>
      </w:r>
    </w:p>
    <w:tbl>
      <w:tblPr>
        <w:tblStyle w:val="3"/>
        <w:tblW w:w="0" w:type="auto"/>
        <w:tblInd w:w="108" w:type="dxa"/>
        <w:tblLayout w:type="fixed"/>
        <w:tblCellMar>
          <w:top w:w="0" w:type="dxa"/>
          <w:left w:w="108" w:type="dxa"/>
          <w:bottom w:w="0" w:type="dxa"/>
          <w:right w:w="108" w:type="dxa"/>
        </w:tblCellMar>
      </w:tblPr>
      <w:tblGrid>
        <w:gridCol w:w="1080"/>
        <w:gridCol w:w="540"/>
        <w:gridCol w:w="6840"/>
      </w:tblGrid>
      <w:tr>
        <w:tblPrEx>
          <w:tblCellMar>
            <w:top w:w="0" w:type="dxa"/>
            <w:left w:w="108" w:type="dxa"/>
            <w:bottom w:w="0" w:type="dxa"/>
            <w:right w:w="108" w:type="dxa"/>
          </w:tblCellMar>
        </w:tblPrEx>
        <w:trPr>
          <w:trHeight w:val="435" w:hRule="atLeast"/>
        </w:trPr>
        <w:tc>
          <w:tcPr>
            <w:tcW w:w="1620" w:type="dxa"/>
            <w:gridSpan w:val="2"/>
            <w:noWrap w:val="0"/>
            <w:vAlign w:val="bottom"/>
          </w:tcPr>
          <w:p>
            <w:pPr>
              <w:spacing w:after="46" w:afterLines="15"/>
              <w:ind w:left="-105" w:leftChars="-50" w:right="-105" w:rightChars="-50"/>
              <w:rPr>
                <w:rFonts w:hint="eastAsia" w:ascii="宋体" w:hAnsi="宋体"/>
                <w:b/>
                <w:kern w:val="0"/>
                <w:sz w:val="20"/>
                <w:szCs w:val="21"/>
              </w:rPr>
            </w:pPr>
            <w:r>
              <w:rPr>
                <w:rFonts w:hint="eastAsia" w:ascii="宋体" w:hAnsi="宋体"/>
                <w:b/>
                <w:kern w:val="0"/>
                <w:sz w:val="20"/>
                <w:szCs w:val="21"/>
              </w:rPr>
              <w:t>科目名称:</w:t>
            </w:r>
          </w:p>
        </w:tc>
        <w:tc>
          <w:tcPr>
            <w:tcW w:w="6840" w:type="dxa"/>
            <w:tcBorders>
              <w:bottom w:val="single" w:color="auto" w:sz="4" w:space="0"/>
            </w:tcBorders>
            <w:noWrap w:val="0"/>
            <w:vAlign w:val="bottom"/>
          </w:tcPr>
          <w:p>
            <w:pPr>
              <w:pStyle w:val="2"/>
              <w:spacing w:before="78" w:beforeLines="25" w:after="31" w:afterLines="10" w:line="240" w:lineRule="auto"/>
              <w:rPr>
                <w:rFonts w:hint="eastAsia"/>
                <w:sz w:val="24"/>
                <w:szCs w:val="24"/>
              </w:rPr>
            </w:pPr>
            <w:r>
              <w:rPr>
                <w:rFonts w:hint="eastAsia"/>
                <w:sz w:val="24"/>
                <w:szCs w:val="24"/>
              </w:rPr>
              <w:t>小学科学课程与教学论</w:t>
            </w:r>
          </w:p>
        </w:tc>
      </w:tr>
      <w:tr>
        <w:tblPrEx>
          <w:tblCellMar>
            <w:top w:w="0" w:type="dxa"/>
            <w:left w:w="108" w:type="dxa"/>
            <w:bottom w:w="0" w:type="dxa"/>
            <w:right w:w="108" w:type="dxa"/>
          </w:tblCellMar>
        </w:tblPrEx>
        <w:trPr>
          <w:trHeight w:val="435" w:hRule="atLeast"/>
        </w:trPr>
        <w:tc>
          <w:tcPr>
            <w:tcW w:w="1080" w:type="dxa"/>
            <w:noWrap w:val="0"/>
            <w:vAlign w:val="bottom"/>
          </w:tcPr>
          <w:p>
            <w:pPr>
              <w:spacing w:after="62" w:afterLines="20"/>
              <w:ind w:left="-105" w:leftChars="-50" w:right="-105" w:rightChars="-50"/>
              <w:rPr>
                <w:rFonts w:hint="eastAsia" w:ascii="宋体" w:hAnsi="宋体"/>
                <w:b/>
                <w:kern w:val="0"/>
                <w:sz w:val="20"/>
                <w:szCs w:val="21"/>
              </w:rPr>
            </w:pPr>
            <w:r>
              <w:rPr>
                <w:rFonts w:hint="eastAsia" w:ascii="宋体" w:hAnsi="宋体"/>
                <w:b/>
                <w:kern w:val="0"/>
                <w:sz w:val="20"/>
                <w:szCs w:val="21"/>
              </w:rPr>
              <w:t>适用专业:</w:t>
            </w:r>
          </w:p>
        </w:tc>
        <w:tc>
          <w:tcPr>
            <w:tcW w:w="7380" w:type="dxa"/>
            <w:gridSpan w:val="2"/>
            <w:tcBorders>
              <w:bottom w:val="single" w:color="auto" w:sz="4" w:space="0"/>
            </w:tcBorders>
            <w:noWrap w:val="0"/>
            <w:vAlign w:val="bottom"/>
          </w:tcPr>
          <w:p>
            <w:pPr>
              <w:spacing w:before="78" w:beforeLines="25" w:after="31" w:afterLines="10"/>
              <w:rPr>
                <w:rFonts w:hint="eastAsia" w:ascii="宋体" w:hAnsi="宋体"/>
                <w:b/>
                <w:kern w:val="0"/>
                <w:sz w:val="20"/>
                <w:szCs w:val="21"/>
              </w:rPr>
            </w:pPr>
            <w:r>
              <w:rPr>
                <w:rFonts w:hint="eastAsia" w:ascii="宋体" w:hAnsi="宋体"/>
                <w:b/>
                <w:kern w:val="0"/>
                <w:sz w:val="20"/>
                <w:szCs w:val="21"/>
              </w:rPr>
              <w:t>小学教育专业</w:t>
            </w:r>
            <w:r>
              <w:rPr>
                <w:rFonts w:hint="eastAsia" w:ascii="宋体" w:hAnsi="宋体"/>
                <w:b/>
                <w:kern w:val="0"/>
                <w:sz w:val="20"/>
                <w:szCs w:val="21"/>
                <w:lang w:val="en-US" w:eastAsia="zh-CN"/>
              </w:rPr>
              <w:t>科学</w:t>
            </w:r>
            <w:bookmarkStart w:id="0" w:name="_GoBack"/>
            <w:bookmarkEnd w:id="0"/>
            <w:r>
              <w:rPr>
                <w:rFonts w:hint="eastAsia" w:ascii="宋体" w:hAnsi="宋体"/>
                <w:b/>
                <w:kern w:val="0"/>
                <w:sz w:val="20"/>
                <w:szCs w:val="21"/>
              </w:rPr>
              <w:t>教育方向</w:t>
            </w:r>
          </w:p>
        </w:tc>
      </w:tr>
    </w:tbl>
    <w:p>
      <w:pPr>
        <w:spacing w:before="312" w:beforeLines="100" w:after="31" w:afterLines="10" w:line="288" w:lineRule="auto"/>
        <w:rPr>
          <w:rFonts w:hint="eastAsia"/>
          <w:b/>
          <w:szCs w:val="21"/>
        </w:rPr>
      </w:pPr>
      <w:r>
        <w:rPr>
          <w:rFonts w:hint="eastAsia"/>
          <w:b/>
          <w:szCs w:val="21"/>
        </w:rPr>
        <w:t>一、考试形式与试卷结构</w:t>
      </w:r>
    </w:p>
    <w:p>
      <w:pPr>
        <w:pStyle w:val="5"/>
        <w:spacing w:before="31" w:beforeLines="10" w:after="31" w:afterLines="10" w:line="288" w:lineRule="auto"/>
        <w:ind w:firstLine="422"/>
        <w:rPr>
          <w:rFonts w:ascii="新宋体" w:hAnsi="新宋体" w:eastAsia="新宋体"/>
          <w:b/>
          <w:szCs w:val="21"/>
        </w:rPr>
      </w:pPr>
      <w:r>
        <w:rPr>
          <w:rFonts w:hint="eastAsia"/>
          <w:b/>
          <w:szCs w:val="21"/>
        </w:rPr>
        <w:t>（一）试卷满分及考试时间</w:t>
      </w:r>
    </w:p>
    <w:p>
      <w:pPr>
        <w:pStyle w:val="5"/>
        <w:spacing w:before="31" w:beforeLines="10" w:after="31" w:afterLines="10" w:line="288" w:lineRule="auto"/>
        <w:rPr>
          <w:rFonts w:ascii="新宋体" w:hAnsi="新宋体" w:eastAsia="新宋体"/>
          <w:szCs w:val="21"/>
        </w:rPr>
      </w:pPr>
      <w:r>
        <w:rPr>
          <w:rFonts w:hint="eastAsia" w:ascii="新宋体" w:hAnsi="新宋体" w:eastAsia="新宋体"/>
          <w:szCs w:val="21"/>
        </w:rPr>
        <w:t>复试</w:t>
      </w:r>
      <w:r>
        <w:rPr>
          <w:rFonts w:hint="eastAsia"/>
          <w:szCs w:val="21"/>
        </w:rPr>
        <w:t>试卷满分</w:t>
      </w:r>
      <w:r>
        <w:rPr>
          <w:rFonts w:hint="eastAsia" w:ascii="新宋体" w:hAnsi="新宋体" w:eastAsia="新宋体"/>
          <w:szCs w:val="21"/>
        </w:rPr>
        <w:t>100分，复试考试时间120分钟。</w:t>
      </w:r>
    </w:p>
    <w:p>
      <w:pPr>
        <w:pStyle w:val="5"/>
        <w:spacing w:before="31" w:beforeLines="10" w:after="31" w:afterLines="10" w:line="288" w:lineRule="auto"/>
        <w:ind w:firstLine="422"/>
        <w:rPr>
          <w:rFonts w:ascii="新宋体" w:hAnsi="新宋体" w:eastAsia="新宋体"/>
          <w:b/>
          <w:szCs w:val="21"/>
        </w:rPr>
      </w:pPr>
      <w:r>
        <w:rPr>
          <w:rFonts w:hint="eastAsia" w:ascii="新宋体" w:hAnsi="新宋体" w:eastAsia="新宋体"/>
          <w:b/>
          <w:szCs w:val="21"/>
        </w:rPr>
        <w:t>（二）答题方式</w:t>
      </w:r>
    </w:p>
    <w:p>
      <w:pPr>
        <w:pStyle w:val="5"/>
        <w:spacing w:before="31" w:beforeLines="10" w:after="31" w:afterLines="10" w:line="288" w:lineRule="auto"/>
        <w:rPr>
          <w:rFonts w:hint="eastAsia" w:ascii="新宋体" w:hAnsi="新宋体" w:eastAsia="新宋体"/>
          <w:szCs w:val="21"/>
        </w:rPr>
      </w:pPr>
      <w:r>
        <w:rPr>
          <w:rFonts w:hint="eastAsia" w:ascii="新宋体" w:hAnsi="新宋体" w:eastAsia="新宋体"/>
          <w:szCs w:val="21"/>
        </w:rPr>
        <w:t>答题方式为闭卷、笔试。</w:t>
      </w:r>
    </w:p>
    <w:p>
      <w:pPr>
        <w:pStyle w:val="5"/>
        <w:spacing w:before="31" w:beforeLines="10" w:after="31" w:afterLines="10" w:line="288" w:lineRule="auto"/>
        <w:ind w:firstLine="422"/>
        <w:rPr>
          <w:rFonts w:hint="eastAsia"/>
          <w:b/>
          <w:szCs w:val="21"/>
        </w:rPr>
      </w:pPr>
      <w:r>
        <w:rPr>
          <w:rFonts w:hint="eastAsia" w:ascii="新宋体" w:hAnsi="新宋体" w:eastAsia="新宋体"/>
          <w:b/>
          <w:szCs w:val="21"/>
        </w:rPr>
        <w:t>（三）试卷内容结构（</w:t>
      </w:r>
      <w:r>
        <w:rPr>
          <w:rFonts w:hint="eastAsia"/>
          <w:b/>
          <w:szCs w:val="21"/>
        </w:rPr>
        <w:t>考试的内容比例）</w:t>
      </w:r>
    </w:p>
    <w:p>
      <w:pPr>
        <w:pStyle w:val="5"/>
        <w:spacing w:before="31" w:beforeLines="10" w:after="31" w:afterLines="10" w:line="288" w:lineRule="auto"/>
        <w:rPr>
          <w:rFonts w:ascii="新宋体" w:hAnsi="新宋体" w:eastAsia="新宋体"/>
          <w:szCs w:val="21"/>
        </w:rPr>
      </w:pPr>
      <w:r>
        <w:rPr>
          <w:rFonts w:hint="eastAsia" w:ascii="宋体" w:hAnsi="宋体" w:cs="宋体"/>
          <w:kern w:val="0"/>
          <w:szCs w:val="21"/>
        </w:rPr>
        <w:t>综合考试科目</w:t>
      </w:r>
      <w:r>
        <w:rPr>
          <w:rFonts w:hint="eastAsia" w:ascii="新宋体" w:hAnsi="新宋体" w:eastAsia="新宋体"/>
          <w:szCs w:val="21"/>
        </w:rPr>
        <w:t>各部分内容所占分值为</w:t>
      </w:r>
    </w:p>
    <w:p>
      <w:pPr>
        <w:pStyle w:val="5"/>
        <w:spacing w:before="31" w:beforeLines="10" w:after="31" w:afterLines="10" w:line="288" w:lineRule="auto"/>
        <w:ind w:firstLine="840" w:firstLineChars="400"/>
        <w:rPr>
          <w:rFonts w:ascii="新宋体" w:hAnsi="新宋体" w:eastAsia="新宋体"/>
          <w:szCs w:val="21"/>
        </w:rPr>
      </w:pPr>
      <w:r>
        <w:rPr>
          <w:rFonts w:hint="eastAsia" w:ascii="新宋体" w:hAnsi="新宋体" w:eastAsia="新宋体"/>
          <w:szCs w:val="21"/>
        </w:rPr>
        <w:t>第一部分　基本概念题　约40分</w:t>
      </w:r>
    </w:p>
    <w:p>
      <w:pPr>
        <w:pStyle w:val="5"/>
        <w:spacing w:before="31" w:beforeLines="10" w:after="31" w:afterLines="10" w:line="288" w:lineRule="auto"/>
        <w:ind w:firstLine="840" w:firstLineChars="400"/>
        <w:rPr>
          <w:rFonts w:hint="eastAsia" w:ascii="新宋体" w:hAnsi="新宋体" w:eastAsia="新宋体"/>
          <w:szCs w:val="21"/>
        </w:rPr>
      </w:pPr>
      <w:r>
        <w:rPr>
          <w:rFonts w:hint="eastAsia" w:ascii="新宋体" w:hAnsi="新宋体" w:eastAsia="新宋体"/>
          <w:szCs w:val="21"/>
        </w:rPr>
        <w:t>第二部分　理论阐述题　约30分</w:t>
      </w:r>
    </w:p>
    <w:p>
      <w:pPr>
        <w:pStyle w:val="5"/>
        <w:spacing w:before="31" w:beforeLines="10" w:after="31" w:afterLines="10" w:line="288" w:lineRule="auto"/>
        <w:ind w:firstLine="840" w:firstLineChars="400"/>
        <w:rPr>
          <w:rFonts w:ascii="新宋体" w:hAnsi="新宋体" w:eastAsia="新宋体"/>
          <w:szCs w:val="21"/>
        </w:rPr>
      </w:pPr>
      <w:r>
        <w:rPr>
          <w:rFonts w:hint="eastAsia" w:ascii="新宋体" w:hAnsi="新宋体" w:eastAsia="新宋体"/>
          <w:szCs w:val="21"/>
        </w:rPr>
        <w:t>第三部分  实践应用题  约30分</w:t>
      </w:r>
    </w:p>
    <w:p>
      <w:pPr>
        <w:pStyle w:val="5"/>
        <w:spacing w:before="31" w:beforeLines="10" w:after="31" w:afterLines="10" w:line="288" w:lineRule="auto"/>
        <w:ind w:firstLine="422"/>
        <w:rPr>
          <w:rFonts w:ascii="新宋体" w:hAnsi="新宋体" w:eastAsia="新宋体"/>
          <w:b/>
          <w:szCs w:val="21"/>
        </w:rPr>
      </w:pPr>
      <w:r>
        <w:rPr>
          <w:rFonts w:hint="eastAsia" w:ascii="新宋体" w:hAnsi="新宋体" w:eastAsia="新宋体"/>
          <w:b/>
          <w:szCs w:val="21"/>
        </w:rPr>
        <w:t>（四）试卷题型结构</w:t>
      </w:r>
    </w:p>
    <w:p>
      <w:pPr>
        <w:pStyle w:val="5"/>
        <w:spacing w:before="31" w:beforeLines="10" w:after="31" w:afterLines="10" w:line="288" w:lineRule="auto"/>
        <w:rPr>
          <w:rFonts w:ascii="新宋体" w:hAnsi="新宋体" w:eastAsia="新宋体"/>
          <w:szCs w:val="21"/>
        </w:rPr>
      </w:pPr>
      <w:r>
        <w:rPr>
          <w:rFonts w:hint="eastAsia" w:ascii="新宋体" w:hAnsi="新宋体" w:eastAsia="新宋体"/>
          <w:szCs w:val="21"/>
        </w:rPr>
        <w:t>概念题（填空、简答题）：约6小题，共30分</w:t>
      </w:r>
    </w:p>
    <w:p>
      <w:pPr>
        <w:pStyle w:val="5"/>
        <w:spacing w:before="31" w:beforeLines="10" w:after="31" w:afterLines="10" w:line="288" w:lineRule="auto"/>
        <w:rPr>
          <w:rFonts w:hint="eastAsia" w:ascii="新宋体" w:hAnsi="新宋体" w:eastAsia="新宋体"/>
          <w:szCs w:val="21"/>
        </w:rPr>
      </w:pPr>
      <w:r>
        <w:rPr>
          <w:rFonts w:hint="eastAsia" w:ascii="新宋体" w:hAnsi="新宋体" w:eastAsia="新宋体"/>
          <w:szCs w:val="21"/>
        </w:rPr>
        <w:t>论述题（分析、综合题）：约3小题，共30分</w:t>
      </w:r>
    </w:p>
    <w:p>
      <w:pPr>
        <w:pStyle w:val="5"/>
        <w:spacing w:before="31" w:beforeLines="10" w:after="31" w:afterLines="10" w:line="288" w:lineRule="auto"/>
        <w:rPr>
          <w:rFonts w:hint="eastAsia" w:ascii="新宋体" w:hAnsi="新宋体" w:eastAsia="新宋体"/>
          <w:szCs w:val="21"/>
        </w:rPr>
      </w:pPr>
      <w:r>
        <w:rPr>
          <w:rFonts w:hint="eastAsia" w:ascii="新宋体" w:hAnsi="新宋体" w:eastAsia="新宋体"/>
          <w:szCs w:val="21"/>
        </w:rPr>
        <w:t>实践题（设计、操作题）：约2小题，共40分</w:t>
      </w:r>
    </w:p>
    <w:p>
      <w:pPr>
        <w:spacing w:before="312" w:beforeLines="100" w:after="31" w:afterLines="10" w:line="288" w:lineRule="auto"/>
        <w:rPr>
          <w:b/>
          <w:szCs w:val="21"/>
        </w:rPr>
      </w:pPr>
      <w:r>
        <w:rPr>
          <w:rFonts w:hint="eastAsia"/>
          <w:b/>
          <w:szCs w:val="21"/>
        </w:rPr>
        <w:t>二、考查目标（复习要求）</w:t>
      </w:r>
    </w:p>
    <w:p>
      <w:pPr>
        <w:spacing w:before="31" w:beforeLines="10" w:after="31" w:afterLines="10" w:line="288" w:lineRule="auto"/>
        <w:ind w:firstLine="420" w:firstLineChars="200"/>
        <w:rPr>
          <w:rFonts w:ascii="新宋体" w:hAnsi="新宋体" w:eastAsia="新宋体"/>
          <w:szCs w:val="21"/>
        </w:rPr>
      </w:pPr>
      <w:r>
        <w:rPr>
          <w:rFonts w:hint="eastAsia" w:ascii="新宋体" w:hAnsi="新宋体" w:eastAsia="新宋体"/>
          <w:szCs w:val="21"/>
        </w:rPr>
        <w:t>教育硕士学位研究生入学考试小学科学课程与教学论科目考试内容包括小学科学课程与教学论的基本概念、基础理论、基本方法和基本技能等范畴，要求考生系统掌握相关学科的基本知识、基础理论和基本方法，并能运用相关理论和方法分析、解决小学科学课中的实际问题，要求具有较强的课堂教学设计能力。</w:t>
      </w:r>
    </w:p>
    <w:p>
      <w:pPr>
        <w:spacing w:before="312" w:beforeLines="100" w:after="31" w:afterLines="10" w:line="288" w:lineRule="auto"/>
        <w:rPr>
          <w:rFonts w:hint="eastAsia"/>
          <w:b/>
          <w:szCs w:val="21"/>
        </w:rPr>
      </w:pPr>
      <w:r>
        <w:rPr>
          <w:rFonts w:hint="eastAsia"/>
          <w:b/>
          <w:szCs w:val="21"/>
        </w:rPr>
        <w:t>三、考试内容概要</w:t>
      </w:r>
    </w:p>
    <w:p>
      <w:pPr>
        <w:spacing w:before="31" w:beforeLines="10" w:after="31" w:afterLines="10" w:line="288" w:lineRule="auto"/>
        <w:rPr>
          <w:rFonts w:hint="eastAsia"/>
          <w:bCs/>
          <w:szCs w:val="21"/>
        </w:rPr>
      </w:pPr>
      <w:r>
        <w:rPr>
          <w:rFonts w:hint="eastAsia"/>
          <w:bCs/>
          <w:szCs w:val="21"/>
        </w:rPr>
        <w:t>第一章 小学科学与技术课程简介</w:t>
      </w:r>
    </w:p>
    <w:p>
      <w:pPr>
        <w:spacing w:before="31" w:beforeLines="10" w:after="31" w:afterLines="10" w:line="288" w:lineRule="auto"/>
        <w:rPr>
          <w:rFonts w:hint="eastAsia"/>
          <w:bCs/>
          <w:szCs w:val="21"/>
        </w:rPr>
      </w:pPr>
      <w:r>
        <w:rPr>
          <w:rFonts w:hint="eastAsia"/>
          <w:bCs/>
          <w:szCs w:val="21"/>
        </w:rPr>
        <w:t>第一节 科学与技术课程发展概况</w:t>
      </w:r>
    </w:p>
    <w:p>
      <w:pPr>
        <w:spacing w:before="31" w:beforeLines="10" w:after="31" w:afterLines="10" w:line="288" w:lineRule="auto"/>
        <w:ind w:firstLine="420" w:firstLineChars="200"/>
        <w:rPr>
          <w:rFonts w:hint="eastAsia"/>
          <w:bCs/>
          <w:szCs w:val="21"/>
        </w:rPr>
      </w:pPr>
      <w:r>
        <w:rPr>
          <w:rFonts w:hint="eastAsia"/>
          <w:bCs/>
          <w:szCs w:val="21"/>
        </w:rPr>
        <w:t>科学与技术课程的意义</w:t>
      </w:r>
    </w:p>
    <w:p>
      <w:pPr>
        <w:spacing w:before="31" w:beforeLines="10" w:after="31" w:afterLines="10" w:line="288" w:lineRule="auto"/>
        <w:rPr>
          <w:rFonts w:hint="eastAsia"/>
          <w:bCs/>
          <w:szCs w:val="21"/>
        </w:rPr>
      </w:pPr>
      <w:r>
        <w:rPr>
          <w:rFonts w:hint="eastAsia"/>
          <w:bCs/>
          <w:szCs w:val="21"/>
        </w:rPr>
        <w:t>第二节 科学与技术课程定位</w:t>
      </w:r>
    </w:p>
    <w:p>
      <w:pPr>
        <w:spacing w:before="31" w:beforeLines="10" w:after="31" w:afterLines="10" w:line="288" w:lineRule="auto"/>
        <w:rPr>
          <w:rFonts w:hint="eastAsia"/>
          <w:bCs/>
          <w:szCs w:val="21"/>
        </w:rPr>
      </w:pPr>
      <w:r>
        <w:rPr>
          <w:rFonts w:hint="eastAsia"/>
          <w:bCs/>
          <w:szCs w:val="21"/>
        </w:rPr>
        <w:t>第三节 科学与技术课程理念</w:t>
      </w:r>
    </w:p>
    <w:p>
      <w:pPr>
        <w:spacing w:before="31" w:beforeLines="10" w:after="31" w:afterLines="10" w:line="288" w:lineRule="auto"/>
        <w:rPr>
          <w:rFonts w:hint="eastAsia"/>
          <w:bCs/>
          <w:szCs w:val="21"/>
        </w:rPr>
      </w:pPr>
      <w:r>
        <w:rPr>
          <w:rFonts w:hint="eastAsia"/>
          <w:bCs/>
          <w:szCs w:val="21"/>
        </w:rPr>
        <w:t>一、积极促成小学生的科学与技术素养</w:t>
      </w:r>
    </w:p>
    <w:p>
      <w:pPr>
        <w:spacing w:before="31" w:beforeLines="10" w:after="31" w:afterLines="10" w:line="288" w:lineRule="auto"/>
        <w:rPr>
          <w:rFonts w:hint="eastAsia"/>
          <w:bCs/>
          <w:szCs w:val="21"/>
        </w:rPr>
      </w:pPr>
      <w:r>
        <w:rPr>
          <w:rFonts w:hint="eastAsia"/>
          <w:bCs/>
          <w:szCs w:val="21"/>
        </w:rPr>
        <w:t>二、注重模块与主题设计</w:t>
      </w:r>
    </w:p>
    <w:p>
      <w:pPr>
        <w:spacing w:before="31" w:beforeLines="10" w:after="31" w:afterLines="10" w:line="288" w:lineRule="auto"/>
        <w:rPr>
          <w:rFonts w:hint="eastAsia"/>
          <w:bCs/>
          <w:szCs w:val="21"/>
        </w:rPr>
      </w:pPr>
      <w:r>
        <w:rPr>
          <w:rFonts w:hint="eastAsia"/>
          <w:bCs/>
          <w:szCs w:val="21"/>
        </w:rPr>
        <w:t>三、强化探究与设计的学习过程</w:t>
      </w:r>
    </w:p>
    <w:p>
      <w:pPr>
        <w:spacing w:before="31" w:beforeLines="10" w:after="31" w:afterLines="10" w:line="288" w:lineRule="auto"/>
        <w:rPr>
          <w:rFonts w:hint="eastAsia"/>
          <w:bCs/>
          <w:szCs w:val="21"/>
        </w:rPr>
      </w:pPr>
      <w:r>
        <w:rPr>
          <w:rFonts w:hint="eastAsia"/>
          <w:bCs/>
          <w:szCs w:val="21"/>
        </w:rPr>
        <w:t>四、构建多元化的发展性评价体系</w:t>
      </w:r>
    </w:p>
    <w:p>
      <w:pPr>
        <w:spacing w:before="31" w:beforeLines="10" w:after="31" w:afterLines="10" w:line="288" w:lineRule="auto"/>
        <w:rPr>
          <w:rFonts w:hint="eastAsia"/>
          <w:bCs/>
          <w:szCs w:val="21"/>
        </w:rPr>
      </w:pPr>
      <w:r>
        <w:rPr>
          <w:rFonts w:hint="eastAsia"/>
          <w:bCs/>
          <w:szCs w:val="21"/>
        </w:rPr>
        <w:t>第二章 小学科学与技术课程教学</w:t>
      </w:r>
    </w:p>
    <w:p>
      <w:pPr>
        <w:spacing w:before="31" w:beforeLines="10" w:after="31" w:afterLines="10" w:line="288" w:lineRule="auto"/>
        <w:rPr>
          <w:rFonts w:hint="eastAsia"/>
          <w:bCs/>
          <w:szCs w:val="21"/>
        </w:rPr>
      </w:pPr>
      <w:r>
        <w:rPr>
          <w:rFonts w:hint="eastAsia"/>
          <w:bCs/>
          <w:szCs w:val="21"/>
        </w:rPr>
        <w:t>第一节 小学科学与技术课程教学设计</w:t>
      </w:r>
    </w:p>
    <w:p>
      <w:pPr>
        <w:spacing w:before="31" w:beforeLines="10" w:after="31" w:afterLines="10" w:line="288" w:lineRule="auto"/>
        <w:rPr>
          <w:rFonts w:hint="eastAsia"/>
          <w:bCs/>
          <w:szCs w:val="21"/>
        </w:rPr>
      </w:pPr>
      <w:r>
        <w:rPr>
          <w:rFonts w:hint="eastAsia"/>
          <w:bCs/>
          <w:szCs w:val="21"/>
        </w:rPr>
        <w:t>一、教学内容分析</w:t>
      </w:r>
    </w:p>
    <w:p>
      <w:pPr>
        <w:spacing w:before="31" w:beforeLines="10" w:after="31" w:afterLines="10" w:line="288" w:lineRule="auto"/>
        <w:rPr>
          <w:rFonts w:hint="eastAsia"/>
          <w:bCs/>
          <w:szCs w:val="21"/>
        </w:rPr>
      </w:pPr>
      <w:r>
        <w:rPr>
          <w:rFonts w:hint="eastAsia"/>
          <w:bCs/>
          <w:szCs w:val="21"/>
        </w:rPr>
        <w:t>二、学情分析</w:t>
      </w:r>
    </w:p>
    <w:p>
      <w:pPr>
        <w:spacing w:before="31" w:beforeLines="10" w:after="31" w:afterLines="10" w:line="288" w:lineRule="auto"/>
        <w:rPr>
          <w:rFonts w:hint="eastAsia"/>
          <w:bCs/>
          <w:szCs w:val="21"/>
        </w:rPr>
      </w:pPr>
      <w:r>
        <w:rPr>
          <w:rFonts w:hint="eastAsia"/>
          <w:bCs/>
          <w:szCs w:val="21"/>
        </w:rPr>
        <w:t>三、教学目标设计</w:t>
      </w:r>
    </w:p>
    <w:p>
      <w:pPr>
        <w:spacing w:before="31" w:beforeLines="10" w:after="31" w:afterLines="10" w:line="288" w:lineRule="auto"/>
        <w:rPr>
          <w:rFonts w:hint="eastAsia"/>
          <w:bCs/>
          <w:szCs w:val="21"/>
        </w:rPr>
      </w:pPr>
      <w:r>
        <w:rPr>
          <w:rFonts w:hint="eastAsia"/>
          <w:bCs/>
          <w:szCs w:val="21"/>
        </w:rPr>
        <w:t>四、教学活动设计</w:t>
      </w:r>
    </w:p>
    <w:p>
      <w:pPr>
        <w:spacing w:before="31" w:beforeLines="10" w:after="31" w:afterLines="10" w:line="288" w:lineRule="auto"/>
        <w:rPr>
          <w:rFonts w:hint="eastAsia"/>
          <w:bCs/>
          <w:szCs w:val="21"/>
        </w:rPr>
      </w:pPr>
      <w:r>
        <w:rPr>
          <w:rFonts w:hint="eastAsia"/>
          <w:bCs/>
          <w:szCs w:val="21"/>
        </w:rPr>
        <w:t>五、教学器材设计</w:t>
      </w:r>
    </w:p>
    <w:p>
      <w:pPr>
        <w:spacing w:before="31" w:beforeLines="10" w:after="31" w:afterLines="10" w:line="288" w:lineRule="auto"/>
        <w:rPr>
          <w:rFonts w:hint="eastAsia"/>
          <w:bCs/>
          <w:szCs w:val="21"/>
        </w:rPr>
      </w:pPr>
      <w:r>
        <w:rPr>
          <w:rFonts w:hint="eastAsia"/>
          <w:bCs/>
          <w:szCs w:val="21"/>
        </w:rPr>
        <w:t>六、预设与生成</w:t>
      </w:r>
    </w:p>
    <w:p>
      <w:pPr>
        <w:spacing w:before="31" w:beforeLines="10" w:after="31" w:afterLines="10" w:line="288" w:lineRule="auto"/>
        <w:rPr>
          <w:rFonts w:hint="eastAsia"/>
          <w:bCs/>
          <w:szCs w:val="21"/>
        </w:rPr>
      </w:pPr>
      <w:r>
        <w:rPr>
          <w:rFonts w:hint="eastAsia"/>
          <w:bCs/>
          <w:szCs w:val="21"/>
        </w:rPr>
        <w:t>七、教学过程设计</w:t>
      </w:r>
    </w:p>
    <w:p>
      <w:pPr>
        <w:spacing w:before="31" w:beforeLines="10" w:after="31" w:afterLines="10" w:line="288" w:lineRule="auto"/>
        <w:rPr>
          <w:rFonts w:hint="eastAsia"/>
          <w:bCs/>
          <w:szCs w:val="21"/>
        </w:rPr>
      </w:pPr>
      <w:r>
        <w:rPr>
          <w:rFonts w:hint="eastAsia"/>
          <w:bCs/>
          <w:szCs w:val="21"/>
        </w:rPr>
        <w:t>第二节 小学科学与技术课程教学实施</w:t>
      </w:r>
    </w:p>
    <w:p>
      <w:pPr>
        <w:spacing w:before="31" w:beforeLines="10" w:after="31" w:afterLines="10" w:line="288" w:lineRule="auto"/>
        <w:rPr>
          <w:rFonts w:hint="eastAsia"/>
          <w:bCs/>
          <w:szCs w:val="21"/>
        </w:rPr>
      </w:pPr>
      <w:r>
        <w:rPr>
          <w:rFonts w:hint="eastAsia"/>
          <w:bCs/>
          <w:szCs w:val="21"/>
        </w:rPr>
        <w:t>一、教学方式</w:t>
      </w:r>
    </w:p>
    <w:p>
      <w:pPr>
        <w:spacing w:before="31" w:beforeLines="10" w:after="31" w:afterLines="10" w:line="288" w:lineRule="auto"/>
        <w:rPr>
          <w:rFonts w:hint="eastAsia"/>
          <w:bCs/>
          <w:szCs w:val="21"/>
        </w:rPr>
      </w:pPr>
      <w:r>
        <w:rPr>
          <w:rFonts w:hint="eastAsia"/>
          <w:bCs/>
          <w:szCs w:val="21"/>
        </w:rPr>
        <w:t>二、教学模式</w:t>
      </w:r>
    </w:p>
    <w:p>
      <w:pPr>
        <w:spacing w:before="31" w:beforeLines="10" w:after="31" w:afterLines="10" w:line="288" w:lineRule="auto"/>
        <w:rPr>
          <w:rFonts w:hint="eastAsia"/>
          <w:bCs/>
          <w:szCs w:val="21"/>
        </w:rPr>
      </w:pPr>
      <w:r>
        <w:rPr>
          <w:rFonts w:hint="eastAsia"/>
          <w:bCs/>
          <w:szCs w:val="21"/>
        </w:rPr>
        <w:t>三、教学技能</w:t>
      </w:r>
    </w:p>
    <w:p>
      <w:pPr>
        <w:spacing w:before="31" w:beforeLines="10" w:after="31" w:afterLines="10" w:line="288" w:lineRule="auto"/>
        <w:rPr>
          <w:rFonts w:hint="eastAsia"/>
          <w:bCs/>
          <w:szCs w:val="21"/>
        </w:rPr>
      </w:pPr>
      <w:r>
        <w:rPr>
          <w:rFonts w:hint="eastAsia"/>
          <w:bCs/>
          <w:szCs w:val="21"/>
        </w:rPr>
        <w:t>四、教学活动指导</w:t>
      </w:r>
    </w:p>
    <w:p>
      <w:pPr>
        <w:spacing w:before="31" w:beforeLines="10" w:after="31" w:afterLines="10" w:line="288" w:lineRule="auto"/>
        <w:rPr>
          <w:rFonts w:hint="eastAsia"/>
          <w:bCs/>
          <w:szCs w:val="21"/>
        </w:rPr>
      </w:pPr>
      <w:r>
        <w:rPr>
          <w:rFonts w:hint="eastAsia"/>
          <w:bCs/>
          <w:szCs w:val="21"/>
        </w:rPr>
        <w:t>第三节 小学科学与技术课程教学评价</w:t>
      </w:r>
    </w:p>
    <w:p>
      <w:pPr>
        <w:spacing w:before="31" w:beforeLines="10" w:after="31" w:afterLines="10" w:line="288" w:lineRule="auto"/>
        <w:rPr>
          <w:rFonts w:hint="eastAsia"/>
          <w:bCs/>
          <w:szCs w:val="21"/>
        </w:rPr>
      </w:pPr>
      <w:r>
        <w:rPr>
          <w:rFonts w:hint="eastAsia"/>
          <w:bCs/>
          <w:szCs w:val="21"/>
        </w:rPr>
        <w:t>一、教师教学评价</w:t>
      </w:r>
    </w:p>
    <w:p>
      <w:pPr>
        <w:spacing w:before="31" w:beforeLines="10" w:after="31" w:afterLines="10" w:line="288" w:lineRule="auto"/>
        <w:rPr>
          <w:rFonts w:hint="eastAsia"/>
          <w:bCs/>
          <w:szCs w:val="21"/>
        </w:rPr>
      </w:pPr>
      <w:r>
        <w:rPr>
          <w:rFonts w:hint="eastAsia"/>
          <w:bCs/>
          <w:szCs w:val="21"/>
        </w:rPr>
        <w:t>二、学生学习评价</w:t>
      </w:r>
    </w:p>
    <w:p>
      <w:pPr>
        <w:spacing w:before="31" w:beforeLines="10" w:after="31" w:afterLines="10" w:line="288" w:lineRule="auto"/>
        <w:rPr>
          <w:rFonts w:hint="eastAsia"/>
          <w:bCs/>
          <w:szCs w:val="21"/>
        </w:rPr>
      </w:pPr>
      <w:r>
        <w:rPr>
          <w:rFonts w:hint="eastAsia"/>
          <w:bCs/>
          <w:szCs w:val="21"/>
        </w:rPr>
        <w:t>第三章 小学科学与技术课程教学案例评析</w:t>
      </w:r>
    </w:p>
    <w:p>
      <w:pPr>
        <w:spacing w:before="31" w:beforeLines="10" w:after="31" w:afterLines="10" w:line="288" w:lineRule="auto"/>
        <w:rPr>
          <w:rFonts w:hint="eastAsia"/>
          <w:b/>
          <w:sz w:val="24"/>
        </w:rPr>
      </w:pPr>
    </w:p>
    <w:p>
      <w:pPr>
        <w:spacing w:before="31" w:beforeLines="10" w:after="31" w:afterLines="10" w:line="288" w:lineRule="auto"/>
        <w:rPr>
          <w:rFonts w:hint="eastAsia"/>
          <w:b/>
          <w:sz w:val="24"/>
        </w:rPr>
      </w:pP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MTZhZThhNWFhMmMyZjYwZGQwN2MxMjczNTM5MjEifQ=="/>
  </w:docVars>
  <w:rsids>
    <w:rsidRoot w:val="74BD3BD2"/>
    <w:rsid w:val="010032E0"/>
    <w:rsid w:val="74BD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after="330" w:afterLines="0" w:line="576" w:lineRule="auto"/>
      <w:outlineLvl w:val="0"/>
    </w:pPr>
    <w:rPr>
      <w:rFonts w:ascii="Times New Roman" w:hAnsi="Times New Roman"/>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2021-06-10T08:10:00Z</dcterms:created>
  <dc:creator>沉默不再是金</dc:creator>
  <cp:lastModifiedBy>HUAWEI</cp:lastModifiedBy>
  <dcterms:modified xsi:type="dcterms:W3CDTF">2022-06-30T07:26:19Z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6AA241E44CEF4A5483F462A1A703F1EA</vt:lpwstr>
  </property>
</Properties>
</file>