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《民俗学方法》考试大纲</w:t>
      </w:r>
    </w:p>
    <w:p>
      <w:pPr>
        <w:rPr>
          <w:rFonts w:ascii="宋体"/>
          <w:b/>
          <w:bCs/>
        </w:rPr>
      </w:pP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spacing w:line="36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一、课程简介</w:t>
      </w:r>
    </w:p>
    <w:p>
      <w:pPr>
        <w:spacing w:line="36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俗学方法课程主要介绍民俗学田野调查即质性研究方法的由来、历史发展和研究的具体程序及方法运用中的相应技巧。质性研究方法是民俗学田野调查最基本也是最通用的方法，学生通过本门课程的学习，可以掌握田野调查的程序、方法及运用技巧，提高学生进行田野调查的综合素质和实践能力。</w:t>
      </w:r>
    </w:p>
    <w:p>
      <w:pPr>
        <w:numPr>
          <w:ilvl w:val="0"/>
          <w:numId w:val="1"/>
        </w:numPr>
        <w:spacing w:line="36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考试内容</w:t>
      </w:r>
    </w:p>
    <w:p>
      <w:pPr>
        <w:numPr>
          <w:ilvl w:val="0"/>
          <w:numId w:val="2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什么是“质的研究方法”</w:t>
      </w:r>
    </w:p>
    <w:p>
      <w:pPr>
        <w:numPr>
          <w:ilvl w:val="0"/>
          <w:numId w:val="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质的研究方法的主要特点</w:t>
      </w:r>
    </w:p>
    <w:p>
      <w:pPr>
        <w:numPr>
          <w:ilvl w:val="0"/>
          <w:numId w:val="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质的研究的定义</w:t>
      </w:r>
    </w:p>
    <w:p>
      <w:pPr>
        <w:numPr>
          <w:ilvl w:val="0"/>
          <w:numId w:val="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质的研究方法的理论基础</w:t>
      </w:r>
    </w:p>
    <w:p>
      <w:pPr>
        <w:numPr>
          <w:ilvl w:val="0"/>
          <w:numId w:val="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“质的研究”与“写性研究”的区分</w:t>
      </w:r>
    </w:p>
    <w:p>
      <w:pPr>
        <w:numPr>
          <w:ilvl w:val="0"/>
          <w:numId w:val="4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质的研究的历史发展</w:t>
      </w:r>
    </w:p>
    <w:p>
      <w:pPr>
        <w:numPr>
          <w:ilvl w:val="0"/>
          <w:numId w:val="5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质的研究的历史渊源</w:t>
      </w:r>
    </w:p>
    <w:p>
      <w:pPr>
        <w:numPr>
          <w:ilvl w:val="0"/>
          <w:numId w:val="5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质的研究的分期</w:t>
      </w:r>
    </w:p>
    <w:p>
      <w:pPr>
        <w:numPr>
          <w:ilvl w:val="0"/>
          <w:numId w:val="6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研究者个人对研究的影响</w:t>
      </w:r>
    </w:p>
    <w:p>
      <w:pPr>
        <w:numPr>
          <w:ilvl w:val="0"/>
          <w:numId w:val="7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研究者个人因素的重要性</w:t>
      </w:r>
    </w:p>
    <w:p>
      <w:pPr>
        <w:numPr>
          <w:ilvl w:val="0"/>
          <w:numId w:val="7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研究者个人身份对研究的影响</w:t>
      </w:r>
    </w:p>
    <w:p>
      <w:pPr>
        <w:numPr>
          <w:ilvl w:val="0"/>
          <w:numId w:val="7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研究者的个人货币对研究的影响</w:t>
      </w:r>
    </w:p>
    <w:p>
      <w:pPr>
        <w:numPr>
          <w:ilvl w:val="0"/>
          <w:numId w:val="8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研究关系对研究的影响</w:t>
      </w:r>
    </w:p>
    <w:p>
      <w:pPr>
        <w:numPr>
          <w:ilvl w:val="0"/>
          <w:numId w:val="9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“局内人”与“局外人”的优势和劣势</w:t>
      </w:r>
    </w:p>
    <w:p>
      <w:pPr>
        <w:numPr>
          <w:ilvl w:val="0"/>
          <w:numId w:val="9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“内”、“外”角色与其他维度的关系</w:t>
      </w:r>
    </w:p>
    <w:p>
      <w:pPr>
        <w:numPr>
          <w:ilvl w:val="0"/>
          <w:numId w:val="9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“局外人”如何理解“局内人”</w:t>
      </w:r>
    </w:p>
    <w:p>
      <w:pPr>
        <w:numPr>
          <w:ilvl w:val="0"/>
          <w:numId w:val="10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进入研究现场</w:t>
      </w:r>
    </w:p>
    <w:p>
      <w:pPr>
        <w:numPr>
          <w:ilvl w:val="0"/>
          <w:numId w:val="11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进入现场前的准备工作</w:t>
      </w:r>
    </w:p>
    <w:p>
      <w:pPr>
        <w:numPr>
          <w:ilvl w:val="0"/>
          <w:numId w:val="11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进入现场的方式</w:t>
      </w:r>
    </w:p>
    <w:p>
      <w:pPr>
        <w:numPr>
          <w:ilvl w:val="0"/>
          <w:numId w:val="11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接触研究对象的策略</w:t>
      </w:r>
    </w:p>
    <w:p>
      <w:pPr>
        <w:numPr>
          <w:ilvl w:val="0"/>
          <w:numId w:val="12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</w:t>
      </w:r>
    </w:p>
    <w:p>
      <w:pPr>
        <w:numPr>
          <w:ilvl w:val="0"/>
          <w:numId w:val="1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访谈与日常谈话的区别</w:t>
      </w:r>
    </w:p>
    <w:p>
      <w:pPr>
        <w:numPr>
          <w:ilvl w:val="0"/>
          <w:numId w:val="1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访谈的具体功用</w:t>
      </w:r>
    </w:p>
    <w:p>
      <w:pPr>
        <w:numPr>
          <w:ilvl w:val="0"/>
          <w:numId w:val="1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访谈的类型</w:t>
      </w:r>
    </w:p>
    <w:p>
      <w:pPr>
        <w:numPr>
          <w:ilvl w:val="0"/>
          <w:numId w:val="1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访谈前的准备工作</w:t>
      </w:r>
    </w:p>
    <w:p>
      <w:pPr>
        <w:numPr>
          <w:ilvl w:val="0"/>
          <w:numId w:val="1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访谈中的注意事项</w:t>
      </w:r>
    </w:p>
    <w:p>
      <w:pPr>
        <w:numPr>
          <w:ilvl w:val="0"/>
          <w:numId w:val="14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访谈中的提问</w:t>
      </w:r>
    </w:p>
    <w:p>
      <w:pPr>
        <w:numPr>
          <w:ilvl w:val="0"/>
          <w:numId w:val="15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提问的基本原则</w:t>
      </w:r>
    </w:p>
    <w:p>
      <w:pPr>
        <w:numPr>
          <w:ilvl w:val="0"/>
          <w:numId w:val="15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访谈问题的类型</w:t>
      </w:r>
    </w:p>
    <w:p>
      <w:pPr>
        <w:numPr>
          <w:ilvl w:val="0"/>
          <w:numId w:val="15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追问的作用</w:t>
      </w:r>
    </w:p>
    <w:p>
      <w:pPr>
        <w:numPr>
          <w:ilvl w:val="0"/>
          <w:numId w:val="16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访谈中的倾听</w:t>
      </w:r>
    </w:p>
    <w:p>
      <w:pPr>
        <w:numPr>
          <w:ilvl w:val="0"/>
          <w:numId w:val="17"/>
        </w:num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“听”的方式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numPr>
          <w:ilvl w:val="0"/>
          <w:numId w:val="17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“听”的基本原则</w:t>
      </w:r>
    </w:p>
    <w:p>
      <w:pPr>
        <w:numPr>
          <w:ilvl w:val="0"/>
          <w:numId w:val="18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访谈中的回应</w:t>
      </w:r>
    </w:p>
    <w:p>
      <w:pPr>
        <w:numPr>
          <w:ilvl w:val="0"/>
          <w:numId w:val="19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回应的类型及功能</w:t>
      </w:r>
    </w:p>
    <w:p>
      <w:pPr>
        <w:numPr>
          <w:ilvl w:val="0"/>
          <w:numId w:val="19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应该避免的回应方式</w:t>
      </w:r>
    </w:p>
    <w:p>
      <w:pPr>
        <w:numPr>
          <w:ilvl w:val="0"/>
          <w:numId w:val="20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观察</w:t>
      </w:r>
    </w:p>
    <w:p>
      <w:pPr>
        <w:numPr>
          <w:ilvl w:val="0"/>
          <w:numId w:val="21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观察的分类</w:t>
      </w:r>
    </w:p>
    <w:p>
      <w:pPr>
        <w:numPr>
          <w:ilvl w:val="0"/>
          <w:numId w:val="21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观察的作用</w:t>
      </w:r>
    </w:p>
    <w:p>
      <w:pPr>
        <w:numPr>
          <w:ilvl w:val="0"/>
          <w:numId w:val="22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观察的实施</w:t>
      </w:r>
    </w:p>
    <w:p>
      <w:pPr>
        <w:numPr>
          <w:ilvl w:val="0"/>
          <w:numId w:val="2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观察前的准备工作</w:t>
      </w:r>
    </w:p>
    <w:p>
      <w:pPr>
        <w:numPr>
          <w:ilvl w:val="0"/>
          <w:numId w:val="23"/>
        </w:numPr>
        <w:spacing w:line="36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进行观察</w:t>
      </w:r>
    </w:p>
    <w:p>
      <w:pPr>
        <w:spacing w:line="360" w:lineRule="exact"/>
        <w:rPr>
          <w:rFonts w:ascii="宋体"/>
          <w:b/>
          <w:bCs/>
          <w:sz w:val="24"/>
          <w:szCs w:val="24"/>
        </w:rPr>
      </w:pPr>
      <w:bookmarkStart w:id="0" w:name="OLE_LINK12"/>
      <w:bookmarkStart w:id="1" w:name="OLE_LINK13"/>
      <w:r>
        <w:rPr>
          <w:rFonts w:hint="eastAsia" w:ascii="宋体" w:hAnsi="宋体" w:cs="宋体"/>
          <w:b/>
          <w:bCs/>
          <w:sz w:val="24"/>
          <w:szCs w:val="24"/>
        </w:rPr>
        <w:t>三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、试卷结构</w:t>
      </w:r>
    </w:p>
    <w:p>
      <w:pPr>
        <w:spacing w:line="36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简答题</w:t>
      </w: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二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论述题</w:t>
      </w:r>
      <w:bookmarkEnd w:id="0"/>
      <w:bookmarkEnd w:id="1"/>
    </w:p>
    <w:p>
      <w:pPr>
        <w:spacing w:line="36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四、参考书目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《质的研究方法与社会科学研究》陈向明，教育科学出版社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A7C"/>
    <w:multiLevelType w:val="singleLevel"/>
    <w:tmpl w:val="57DF4A7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DF4A9A"/>
    <w:multiLevelType w:val="singleLevel"/>
    <w:tmpl w:val="57DF4A9A"/>
    <w:lvl w:ilvl="0" w:tentative="0">
      <w:start w:val="1"/>
      <w:numFmt w:val="chineseCounting"/>
      <w:suff w:val="nothing"/>
      <w:lvlText w:val="(%1)"/>
      <w:lvlJc w:val="left"/>
    </w:lvl>
  </w:abstractNum>
  <w:abstractNum w:abstractNumId="2">
    <w:nsid w:val="57DF4AB2"/>
    <w:multiLevelType w:val="singleLevel"/>
    <w:tmpl w:val="57DF4A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DF4AEE"/>
    <w:multiLevelType w:val="singleLevel"/>
    <w:tmpl w:val="57DF4AEE"/>
    <w:lvl w:ilvl="0" w:tentative="0">
      <w:start w:val="2"/>
      <w:numFmt w:val="chineseCounting"/>
      <w:suff w:val="nothing"/>
      <w:lvlText w:val="(%1)"/>
      <w:lvlJc w:val="left"/>
    </w:lvl>
  </w:abstractNum>
  <w:abstractNum w:abstractNumId="4">
    <w:nsid w:val="57DF4AFF"/>
    <w:multiLevelType w:val="singleLevel"/>
    <w:tmpl w:val="57DF4AF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DF4B48"/>
    <w:multiLevelType w:val="singleLevel"/>
    <w:tmpl w:val="57DF4B48"/>
    <w:lvl w:ilvl="0" w:tentative="0">
      <w:start w:val="3"/>
      <w:numFmt w:val="chineseCounting"/>
      <w:suff w:val="nothing"/>
      <w:lvlText w:val="(%1)"/>
      <w:lvlJc w:val="left"/>
    </w:lvl>
  </w:abstractNum>
  <w:abstractNum w:abstractNumId="6">
    <w:nsid w:val="57DF4B5C"/>
    <w:multiLevelType w:val="singleLevel"/>
    <w:tmpl w:val="57DF4B5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DF4BAB"/>
    <w:multiLevelType w:val="singleLevel"/>
    <w:tmpl w:val="57DF4BAB"/>
    <w:lvl w:ilvl="0" w:tentative="0">
      <w:start w:val="4"/>
      <w:numFmt w:val="chineseCounting"/>
      <w:suff w:val="nothing"/>
      <w:lvlText w:val="(%1)"/>
      <w:lvlJc w:val="left"/>
    </w:lvl>
  </w:abstractNum>
  <w:abstractNum w:abstractNumId="8">
    <w:nsid w:val="57DF4BFB"/>
    <w:multiLevelType w:val="singleLevel"/>
    <w:tmpl w:val="57DF4BF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DF4C2E"/>
    <w:multiLevelType w:val="singleLevel"/>
    <w:tmpl w:val="57DF4C2E"/>
    <w:lvl w:ilvl="0" w:tentative="0">
      <w:start w:val="5"/>
      <w:numFmt w:val="chineseCounting"/>
      <w:suff w:val="nothing"/>
      <w:lvlText w:val="(%1)"/>
      <w:lvlJc w:val="left"/>
    </w:lvl>
  </w:abstractNum>
  <w:abstractNum w:abstractNumId="10">
    <w:nsid w:val="57DF4C41"/>
    <w:multiLevelType w:val="singleLevel"/>
    <w:tmpl w:val="57DF4C4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DF4C82"/>
    <w:multiLevelType w:val="singleLevel"/>
    <w:tmpl w:val="57DF4C82"/>
    <w:lvl w:ilvl="0" w:tentative="0">
      <w:start w:val="6"/>
      <w:numFmt w:val="chineseCounting"/>
      <w:suff w:val="nothing"/>
      <w:lvlText w:val="(%1)"/>
      <w:lvlJc w:val="left"/>
    </w:lvl>
  </w:abstractNum>
  <w:abstractNum w:abstractNumId="12">
    <w:nsid w:val="57DF4C9D"/>
    <w:multiLevelType w:val="singleLevel"/>
    <w:tmpl w:val="57DF4C9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DF4D51"/>
    <w:multiLevelType w:val="singleLevel"/>
    <w:tmpl w:val="57DF4D51"/>
    <w:lvl w:ilvl="0" w:tentative="0">
      <w:start w:val="7"/>
      <w:numFmt w:val="chineseCounting"/>
      <w:suff w:val="nothing"/>
      <w:lvlText w:val="(%1)"/>
      <w:lvlJc w:val="left"/>
    </w:lvl>
  </w:abstractNum>
  <w:abstractNum w:abstractNumId="14">
    <w:nsid w:val="57DF4D66"/>
    <w:multiLevelType w:val="singleLevel"/>
    <w:tmpl w:val="57DF4D66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DF4D9F"/>
    <w:multiLevelType w:val="singleLevel"/>
    <w:tmpl w:val="57DF4D9F"/>
    <w:lvl w:ilvl="0" w:tentative="0">
      <w:start w:val="8"/>
      <w:numFmt w:val="chineseCounting"/>
      <w:suff w:val="nothing"/>
      <w:lvlText w:val="(%1)"/>
      <w:lvlJc w:val="left"/>
    </w:lvl>
  </w:abstractNum>
  <w:abstractNum w:abstractNumId="16">
    <w:nsid w:val="57DF4DC7"/>
    <w:multiLevelType w:val="singleLevel"/>
    <w:tmpl w:val="57DF4DC7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DF4DE3"/>
    <w:multiLevelType w:val="singleLevel"/>
    <w:tmpl w:val="57DF4DE3"/>
    <w:lvl w:ilvl="0" w:tentative="0">
      <w:start w:val="9"/>
      <w:numFmt w:val="chineseCounting"/>
      <w:suff w:val="nothing"/>
      <w:lvlText w:val="(%1)"/>
      <w:lvlJc w:val="left"/>
    </w:lvl>
  </w:abstractNum>
  <w:abstractNum w:abstractNumId="18">
    <w:nsid w:val="57DF4DFD"/>
    <w:multiLevelType w:val="singleLevel"/>
    <w:tmpl w:val="57DF4DFD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7DF4E36"/>
    <w:multiLevelType w:val="singleLevel"/>
    <w:tmpl w:val="57DF4E36"/>
    <w:lvl w:ilvl="0" w:tentative="0">
      <w:start w:val="10"/>
      <w:numFmt w:val="chineseCounting"/>
      <w:suff w:val="nothing"/>
      <w:lvlText w:val="(%1)"/>
      <w:lvlJc w:val="left"/>
    </w:lvl>
  </w:abstractNum>
  <w:abstractNum w:abstractNumId="20">
    <w:nsid w:val="57DF4E45"/>
    <w:multiLevelType w:val="singleLevel"/>
    <w:tmpl w:val="57DF4E45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7DF4E63"/>
    <w:multiLevelType w:val="singleLevel"/>
    <w:tmpl w:val="57DF4E63"/>
    <w:lvl w:ilvl="0" w:tentative="0">
      <w:start w:val="11"/>
      <w:numFmt w:val="chineseCounting"/>
      <w:suff w:val="nothing"/>
      <w:lvlText w:val="(%1)"/>
      <w:lvlJc w:val="left"/>
    </w:lvl>
  </w:abstractNum>
  <w:abstractNum w:abstractNumId="22">
    <w:nsid w:val="57DF4E77"/>
    <w:multiLevelType w:val="singleLevel"/>
    <w:tmpl w:val="57DF4E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BB2"/>
    <w:rsid w:val="0011508C"/>
    <w:rsid w:val="00375BB2"/>
    <w:rsid w:val="00537C47"/>
    <w:rsid w:val="006101B1"/>
    <w:rsid w:val="00E07177"/>
    <w:rsid w:val="01D87FF2"/>
    <w:rsid w:val="13CF5F8D"/>
    <w:rsid w:val="2A8C64DC"/>
    <w:rsid w:val="2F442007"/>
    <w:rsid w:val="55945727"/>
    <w:rsid w:val="578E50F3"/>
    <w:rsid w:val="5A3A1C06"/>
    <w:rsid w:val="5FFF65C0"/>
    <w:rsid w:val="60C35B4E"/>
    <w:rsid w:val="700F3FAF"/>
    <w:rsid w:val="7DD16D5D"/>
    <w:rsid w:val="7EE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synu</Company>
  <Pages>2</Pages>
  <Words>86</Words>
  <Characters>495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2018-08-28T06:02:32Z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