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昆明理工大学硕士研究生入学考试《内燃机原理》考试大纲</w:t>
      </w:r>
    </w:p>
    <w:p>
      <w:pPr>
        <w:spacing w:line="240" w:lineRule="atLeast"/>
        <w:rPr>
          <w:rFonts w:hint="eastAsia" w:ascii="宋体" w:hAnsi="宋体"/>
          <w:b/>
          <w:bCs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第一部分  </w:t>
      </w:r>
      <w:r>
        <w:rPr>
          <w:rFonts w:hint="eastAsia" w:ascii="黑体" w:eastAsia="黑体"/>
          <w:bCs/>
          <w:sz w:val="28"/>
          <w:szCs w:val="28"/>
        </w:rPr>
        <w:t>考试形式和试卷结构</w:t>
      </w:r>
    </w:p>
    <w:p>
      <w:pPr>
        <w:spacing w:after="62" w:afterLines="20"/>
        <w:ind w:firstLine="551" w:firstLineChars="196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一、试卷满分及考试时间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试卷满分为150分，考试时间为180分钟．</w:t>
      </w:r>
    </w:p>
    <w:p>
      <w:pPr>
        <w:spacing w:before="62" w:beforeLines="20" w:after="62" w:afterLines="20"/>
        <w:ind w:firstLine="551" w:firstLineChars="196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二、答题方式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答题方式为闭卷、笔试．</w:t>
      </w:r>
    </w:p>
    <w:p>
      <w:pPr>
        <w:spacing w:before="62" w:beforeLines="20" w:after="62" w:afterLines="20"/>
        <w:ind w:firstLine="551" w:firstLineChars="196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三、试卷的内容结构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1概论及内燃机的工作指标部分</w:t>
      </w:r>
      <w:r>
        <w:rPr>
          <w:rFonts w:hint="eastAsia" w:ascii="宋体" w:hAnsi="宋体"/>
          <w:bCs/>
          <w:sz w:val="28"/>
          <w:szCs w:val="28"/>
        </w:rPr>
        <w:t xml:space="preserve">                    约占15%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2内燃机的工作循环部分</w:t>
      </w:r>
      <w:r>
        <w:rPr>
          <w:rFonts w:hint="eastAsia" w:ascii="宋体" w:hAnsi="宋体"/>
          <w:bCs/>
          <w:sz w:val="28"/>
          <w:szCs w:val="28"/>
        </w:rPr>
        <w:t xml:space="preserve">                          约占10%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3内燃机的换气过程部分</w:t>
      </w:r>
      <w:r>
        <w:rPr>
          <w:rFonts w:hint="eastAsia" w:ascii="宋体" w:hAnsi="宋体"/>
          <w:bCs/>
          <w:sz w:val="28"/>
          <w:szCs w:val="28"/>
        </w:rPr>
        <w:t xml:space="preserve">                          约占15%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4内燃机混合气的形成及燃烧部分</w:t>
      </w:r>
      <w:r>
        <w:rPr>
          <w:rFonts w:hint="eastAsia" w:ascii="宋体" w:hAnsi="宋体"/>
          <w:bCs/>
          <w:sz w:val="28"/>
          <w:szCs w:val="28"/>
        </w:rPr>
        <w:t xml:space="preserve">                  约占20%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5内燃机的燃料供给与调节部分</w:t>
      </w:r>
      <w:r>
        <w:rPr>
          <w:rFonts w:hint="eastAsia" w:ascii="宋体" w:hAnsi="宋体"/>
          <w:bCs/>
          <w:sz w:val="28"/>
          <w:szCs w:val="28"/>
        </w:rPr>
        <w:t xml:space="preserve">                    约占15%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6内燃机污染物的生成与控制部分</w:t>
      </w:r>
      <w:r>
        <w:rPr>
          <w:rFonts w:hint="eastAsia" w:ascii="宋体" w:hAnsi="宋体"/>
          <w:bCs/>
          <w:sz w:val="28"/>
          <w:szCs w:val="28"/>
        </w:rPr>
        <w:t xml:space="preserve">                  约占15%</w:t>
      </w:r>
    </w:p>
    <w:p>
      <w:pPr>
        <w:spacing w:line="360" w:lineRule="auto"/>
        <w:ind w:firstLine="141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7内燃机的使用特性与匹配部分</w:t>
      </w:r>
      <w:r>
        <w:rPr>
          <w:rFonts w:hint="eastAsia" w:ascii="宋体" w:hAnsi="宋体"/>
          <w:bCs/>
          <w:sz w:val="28"/>
          <w:szCs w:val="28"/>
        </w:rPr>
        <w:t xml:space="preserve">                    约占10%</w:t>
      </w:r>
    </w:p>
    <w:p>
      <w:pPr>
        <w:spacing w:line="360" w:lineRule="auto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四、试卷的题型结构</w:t>
      </w:r>
    </w:p>
    <w:p>
      <w:pPr>
        <w:widowControl/>
        <w:shd w:val="clear" w:color="auto" w:fill="FFFFFF"/>
        <w:spacing w:line="360" w:lineRule="auto"/>
        <w:ind w:firstLine="42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试卷题型结构为：</w:t>
      </w:r>
    </w:p>
    <w:p>
      <w:pPr>
        <w:widowControl/>
        <w:shd w:val="clear" w:color="auto" w:fill="FFFFFF"/>
        <w:spacing w:line="360" w:lineRule="auto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填空</w:t>
      </w:r>
      <w:r>
        <w:rPr>
          <w:rFonts w:hint="eastAsia" w:ascii="宋体" w:hAnsi="宋体"/>
          <w:sz w:val="28"/>
          <w:szCs w:val="28"/>
        </w:rPr>
        <w:t xml:space="preserve">                          </w:t>
      </w:r>
      <w:r>
        <w:rPr>
          <w:rFonts w:hint="eastAsia" w:ascii="宋体" w:hAnsi="宋体"/>
          <w:bCs/>
          <w:sz w:val="28"/>
          <w:szCs w:val="28"/>
        </w:rPr>
        <w:t xml:space="preserve">   40分</w:t>
      </w:r>
    </w:p>
    <w:p>
      <w:pPr>
        <w:spacing w:line="360" w:lineRule="auto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名词解释</w:t>
      </w:r>
      <w:r>
        <w:rPr>
          <w:rFonts w:hint="eastAsia" w:ascii="宋体" w:hAnsi="宋体"/>
          <w:sz w:val="28"/>
          <w:szCs w:val="28"/>
        </w:rPr>
        <w:t xml:space="preserve">                       </w:t>
      </w:r>
      <w:r>
        <w:rPr>
          <w:rFonts w:hint="eastAsia" w:ascii="宋体" w:hAnsi="宋体"/>
          <w:bCs/>
          <w:sz w:val="28"/>
          <w:szCs w:val="28"/>
        </w:rPr>
        <w:t xml:space="preserve">  30分</w:t>
      </w:r>
    </w:p>
    <w:p>
      <w:pPr>
        <w:spacing w:line="360" w:lineRule="auto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 xml:space="preserve">论述题 </w:t>
      </w:r>
      <w:r>
        <w:rPr>
          <w:rFonts w:hint="eastAsia" w:ascii="宋体" w:hAnsi="宋体"/>
          <w:sz w:val="28"/>
          <w:szCs w:val="28"/>
        </w:rPr>
        <w:t xml:space="preserve">                          </w:t>
      </w:r>
      <w:r>
        <w:rPr>
          <w:rFonts w:hint="eastAsia" w:ascii="宋体" w:hAnsi="宋体"/>
          <w:bCs/>
          <w:sz w:val="28"/>
          <w:szCs w:val="28"/>
        </w:rPr>
        <w:t>80分</w:t>
      </w:r>
    </w:p>
    <w:p>
      <w:pPr>
        <w:spacing w:line="360" w:lineRule="auto"/>
        <w:jc w:val="center"/>
        <w:rPr>
          <w:rFonts w:hint="eastAsia" w:ascii="黑体"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第二部分  考察的知识及范围</w:t>
      </w:r>
    </w:p>
    <w:p>
      <w:pPr>
        <w:spacing w:line="360" w:lineRule="auto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一、考察的知识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内燃机工作过程，各参数对工作过程的影响。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内燃机的性能指标及内燃机特性与匹配。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内燃机增压的基本原理和废气涡轮增压的基本形式、特点及匹配原则。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内燃机性能测试方法及对测试结果的理论分析。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黑体" w:eastAsia="黑体"/>
          <w:bCs/>
          <w:sz w:val="24"/>
        </w:rPr>
        <w:t>二、考察的范围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 概论及内燃机的工作指标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内燃机的基本分类以及内燃机的典型结构。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内燃机示功图的基本形式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内燃机的指示指标和有效指标及其相应关系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内燃机的机械损失、机械效率及其测量方法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提高内燃机动力性和经济性的途径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 内燃机的工作循环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内燃机的三种基本循环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内燃机的燃料及其热化学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内燃机实际循环和理论循环及其之间的差异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内燃机循环的热力模型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 内燃机的换气过程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四冲程内燃机的换气过程及其各种损失，以及充气效率的概念和提高措施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二冲程内燃机的换气过程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内燃机增压的基本原理和废气涡轮增压的基本形式及特点，以及车用内燃机与增压器的匹配原则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 内燃机混合气的形成及燃烧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内燃机中的气体流动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火花点火发动机的正常燃烧和各种非正常燃烧，循环变动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火花点火发动机的各种燃烧室以及分层燃烧的工作原理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压燃式发动机的混合气形成和燃烧过程的特点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燃烧噪声、放热规律和冷启动性能等重要特性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柴油机直喷式燃烧室和非直喷式燃烧室的性能、结构特点和混合气形成特征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浅盆形和深坑形燃烧室的设计要素和特点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各种燃烧室的特点和选型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 内燃机的燃料供给与调节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压燃式内燃机燃料的正常喷射和异常喷射过程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喷油泵和喷油器的参数选择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内燃机调速器工作特性及其与主机的匹配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高压共轨喷油系统相对常规喷油系统的优势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点燃式燃料供给系统和电控汽油喷射系统的基本工作原理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气体燃料燃料系统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6内燃机污染物的生成与控制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概述 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污染物的生成机理和主要影响因素  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内燃机的排放特性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内燃机的排放控制 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排气后处理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低排放燃料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排放测量与法规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 内燃机的使用特性与匹配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内燃机的基本特性：负荷特性、速度特性、调速特性和万有特性及其测取方法、历程分析、特点和用途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内燃机的功率标定及大气修正方法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内燃机与工作机械的匹配方法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C5D"/>
    <w:multiLevelType w:val="multilevel"/>
    <w:tmpl w:val="01913C5D"/>
    <w:lvl w:ilvl="0" w:tentative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abstractNum w:abstractNumId="1">
    <w:nsid w:val="1A1C4907"/>
    <w:multiLevelType w:val="multilevel"/>
    <w:tmpl w:val="1A1C4907"/>
    <w:lvl w:ilvl="0" w:tentative="0">
      <w:start w:val="1"/>
      <w:numFmt w:val="japaneseCounting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401265"/>
    <w:multiLevelType w:val="multilevel"/>
    <w:tmpl w:val="40401265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48D552A9"/>
    <w:multiLevelType w:val="multilevel"/>
    <w:tmpl w:val="48D552A9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4">
    <w:nsid w:val="54A03C3B"/>
    <w:multiLevelType w:val="multilevel"/>
    <w:tmpl w:val="54A03C3B"/>
    <w:lvl w:ilvl="0" w:tentative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abstractNum w:abstractNumId="5">
    <w:nsid w:val="65A66574"/>
    <w:multiLevelType w:val="multilevel"/>
    <w:tmpl w:val="65A66574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6">
    <w:nsid w:val="6AB85AB2"/>
    <w:multiLevelType w:val="multilevel"/>
    <w:tmpl w:val="6AB85AB2"/>
    <w:lvl w:ilvl="0" w:tentative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abstractNum w:abstractNumId="7">
    <w:nsid w:val="751F7BBD"/>
    <w:multiLevelType w:val="multilevel"/>
    <w:tmpl w:val="751F7BBD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D3"/>
    <w:rsid w:val="0019575C"/>
    <w:rsid w:val="002C3519"/>
    <w:rsid w:val="005B1BD3"/>
    <w:rsid w:val="00823EE9"/>
    <w:rsid w:val="009F715C"/>
    <w:rsid w:val="00B81751"/>
    <w:rsid w:val="00BE2094"/>
    <w:rsid w:val="00ED63BF"/>
    <w:rsid w:val="00FD218B"/>
    <w:rsid w:val="1BF960C4"/>
    <w:rsid w:val="72EB4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205</Words>
  <Characters>1171</Characters>
  <Lines>9</Lines>
  <Paragraphs>2</Paragraphs>
  <TotalTime>0</TotalTime>
  <ScaleCrop>false</ScaleCrop>
  <LinksUpToDate>false</LinksUpToDate>
  <CharactersWithSpaces>1374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2009-10-15T08:55:00Z</dcterms:created>
  <dc:creator>微软用户</dc:creator>
  <cp:lastModifiedBy>vertesyuan</cp:lastModifiedBy>
  <dcterms:modified xsi:type="dcterms:W3CDTF">2021-12-08T08:13:03Z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