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昆明理工大学硕士研究生入学考试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《建筑与城市设计作图》考试大纲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line="240" w:lineRule="atLeast"/>
        <w:ind w:left="1512" w:hanging="1512" w:hangingChars="540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试卷满分为150分，考试时间为6小时．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  <w:r>
        <w:rPr>
          <w:rFonts w:hint="eastAsia" w:ascii="仿宋_GB2312" w:eastAsia="仿宋_GB2312"/>
          <w:sz w:val="28"/>
          <w:szCs w:val="28"/>
        </w:rPr>
        <w:t>（知识点）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总平面设计（70分）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评分原则及知识点: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1、功能布局                                       约占30%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2、交通流线                                       约占30%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4、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空间组合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约占20%</w:t>
      </w:r>
    </w:p>
    <w:p>
      <w:pPr>
        <w:spacing w:line="360" w:lineRule="auto"/>
        <w:ind w:firstLine="420" w:firstLineChars="150"/>
        <w:rPr>
          <w:rFonts w:hint="eastAsia"/>
          <w:b/>
          <w:sz w:val="24"/>
        </w:rPr>
      </w:pPr>
      <w:r>
        <w:rPr>
          <w:rFonts w:hint="eastAsia" w:ascii="仿宋_GB2312" w:eastAsia="仿宋_GB2312"/>
          <w:sz w:val="28"/>
          <w:szCs w:val="28"/>
        </w:rPr>
        <w:t>5、图面表达                                       约占20%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建筑单体设计（80分）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评分原则及知识点:</w:t>
      </w:r>
    </w:p>
    <w:p>
      <w:pPr>
        <w:spacing w:line="360" w:lineRule="auto"/>
        <w:ind w:firstLine="420" w:firstLineChars="150"/>
        <w:jc w:val="left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1、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与环境关系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                               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FF0000"/>
          <w:sz w:val="28"/>
          <w:szCs w:val="28"/>
        </w:rPr>
        <w:t>约占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FF0000"/>
          <w:sz w:val="28"/>
          <w:szCs w:val="28"/>
        </w:rPr>
        <w:t>0%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2、功能布局                                      约占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FF0000"/>
          <w:sz w:val="28"/>
          <w:szCs w:val="28"/>
        </w:rPr>
        <w:t>0%</w:t>
      </w:r>
    </w:p>
    <w:p>
      <w:pPr>
        <w:spacing w:line="360" w:lineRule="auto"/>
        <w:ind w:firstLine="420" w:firstLineChars="150"/>
        <w:jc w:val="left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3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空间、</w:t>
      </w:r>
      <w:r>
        <w:rPr>
          <w:rFonts w:hint="eastAsia" w:ascii="仿宋_GB2312" w:eastAsia="仿宋_GB2312"/>
          <w:color w:val="FF0000"/>
          <w:sz w:val="28"/>
          <w:szCs w:val="28"/>
        </w:rPr>
        <w:t>结构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造型之间的逻辑关系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       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    约占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color w:val="FF0000"/>
          <w:sz w:val="28"/>
          <w:szCs w:val="28"/>
        </w:rPr>
        <w:t>%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4、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内部空间的质量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                                约占20%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5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FF0000"/>
          <w:sz w:val="28"/>
          <w:szCs w:val="28"/>
        </w:rPr>
        <w:t>图面表达                                      约占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color w:val="FF0000"/>
          <w:sz w:val="28"/>
          <w:szCs w:val="28"/>
        </w:rPr>
        <w:t>%</w:t>
      </w:r>
    </w:p>
    <w:p>
      <w:pPr>
        <w:spacing w:before="62" w:beforeLines="20" w:after="62" w:afterLines="20"/>
        <w:ind w:firstLine="410" w:firstLineChars="14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作图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考试目的</w:t>
      </w:r>
    </w:p>
    <w:p>
      <w:pPr>
        <w:spacing w:line="360" w:lineRule="auto"/>
        <w:ind w:left="699" w:leftChars="33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检验应试者</w:t>
      </w:r>
      <w:r>
        <w:rPr>
          <w:rFonts w:hint="eastAsia" w:ascii="仿宋_GB2312" w:eastAsia="仿宋_GB2312"/>
          <w:sz w:val="28"/>
          <w:szCs w:val="28"/>
        </w:rPr>
        <w:t>掌握建筑设计及</w:t>
      </w:r>
      <w:r>
        <w:rPr>
          <w:rFonts w:hint="eastAsia" w:ascii="仿宋_GB2312" w:eastAsia="仿宋_GB2312"/>
          <w:color w:val="FF0000"/>
          <w:sz w:val="28"/>
          <w:szCs w:val="28"/>
        </w:rPr>
        <w:t>城市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设计</w:t>
      </w:r>
      <w:r>
        <w:rPr>
          <w:rFonts w:hint="eastAsia" w:ascii="仿宋_GB2312" w:eastAsia="仿宋_GB2312"/>
          <w:sz w:val="28"/>
          <w:szCs w:val="28"/>
        </w:rPr>
        <w:t>的基础知识、基本原则和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基本方法，了解建筑设计及城市规划的有关政策和技术法规，理解和处理建筑功能、技术与艺术三者的关系，</w:t>
      </w:r>
      <w:r>
        <w:rPr>
          <w:rFonts w:hint="eastAsia" w:ascii="仿宋_GB2312" w:hAnsi="ˎ̥" w:eastAsia="仿宋_GB2312"/>
          <w:sz w:val="28"/>
          <w:szCs w:val="28"/>
        </w:rPr>
        <w:t>对建筑群体的综合布局与建筑方案设计构思能力和设计能力，对试题能做出符合要求的答案，包括：总平面布置（含场地分析、竖向设计、停车场、道路、广场、绿化布置等）、平面功能组合、合理的空间构成、建筑形态及造型及相关的技术处理措施等，并符合法规规范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考题类型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仿宋_GB2312" w:hAnsi="ˎ̥" w:eastAsia="仿宋_GB2312"/>
          <w:sz w:val="28"/>
          <w:szCs w:val="28"/>
        </w:rPr>
        <w:t>完成某一特定基地条件下一综合功能的建筑单体或群体的</w:t>
      </w:r>
      <w:r>
        <w:rPr>
          <w:rFonts w:hint="eastAsia" w:ascii="仿宋_GB2312" w:hAnsi="ˎ̥" w:eastAsia="仿宋_GB2312"/>
          <w:sz w:val="28"/>
          <w:szCs w:val="28"/>
        </w:rPr>
        <w:t>建筑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方案</w:t>
      </w:r>
      <w:r>
        <w:rPr>
          <w:rFonts w:hint="eastAsia" w:ascii="仿宋_GB2312" w:hAnsi="ˎ̥" w:eastAsia="仿宋_GB2312"/>
          <w:sz w:val="28"/>
          <w:szCs w:val="28"/>
        </w:rPr>
        <w:t>和规划</w:t>
      </w:r>
      <w:r>
        <w:rPr>
          <w:rFonts w:ascii="仿宋_GB2312" w:hAnsi="ˎ̥" w:eastAsia="仿宋_GB2312"/>
          <w:sz w:val="28"/>
          <w:szCs w:val="28"/>
        </w:rPr>
        <w:t>设计。建筑规模在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4</w:t>
      </w:r>
      <w:r>
        <w:rPr>
          <w:rFonts w:ascii="仿宋_GB2312" w:hAnsi="ˎ̥" w:eastAsia="仿宋_GB2312"/>
          <w:color w:val="FF0000"/>
          <w:sz w:val="28"/>
          <w:szCs w:val="28"/>
        </w:rPr>
        <w:t>000㎡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以下</w:t>
      </w:r>
      <w:r>
        <w:rPr>
          <w:rFonts w:ascii="仿宋_GB2312" w:hAnsi="ˎ̥" w:eastAsia="仿宋_GB2312"/>
          <w:sz w:val="28"/>
          <w:szCs w:val="28"/>
        </w:rPr>
        <w:t>的中小型民用建筑的新建或改、扩建</w:t>
      </w:r>
      <w:r>
        <w:rPr>
          <w:rFonts w:hint="eastAsia" w:ascii="仿宋_GB2312" w:hAnsi="ˎ̥" w:eastAsia="仿宋_GB2312"/>
          <w:sz w:val="28"/>
          <w:szCs w:val="28"/>
        </w:rPr>
        <w:t>，包含</w:t>
      </w:r>
      <w:r>
        <w:rPr>
          <w:rFonts w:ascii="仿宋_GB2312" w:hAnsi="ˎ̥" w:eastAsia="仿宋_GB2312"/>
          <w:sz w:val="28"/>
          <w:szCs w:val="28"/>
        </w:rPr>
        <w:t>建筑单体设计</w:t>
      </w:r>
      <w:r>
        <w:rPr>
          <w:rFonts w:hint="eastAsia" w:ascii="仿宋_GB2312" w:hAnsi="ˎ̥" w:eastAsia="仿宋_GB2312"/>
          <w:sz w:val="28"/>
          <w:szCs w:val="28"/>
        </w:rPr>
        <w:t>以及群体</w:t>
      </w:r>
      <w:r>
        <w:rPr>
          <w:rFonts w:ascii="仿宋_GB2312" w:hAnsi="ˎ̥" w:eastAsia="仿宋_GB2312"/>
          <w:sz w:val="28"/>
          <w:szCs w:val="28"/>
        </w:rPr>
        <w:t>规划和场地设计的相关内容，可能涉及室内外环境设计和构造设计等内容。适当了解生态建筑及环境的一些设计手法，思考建筑的可持续发展，以及地域文化中的建筑设计等问题。</w:t>
      </w:r>
      <w:r>
        <w:rPr>
          <w:rFonts w:ascii="仿宋_GB2312" w:hAnsi="ˎ̥" w:eastAsia="仿宋_GB2312"/>
          <w:sz w:val="28"/>
          <w:szCs w:val="28"/>
        </w:rPr>
        <w:br w:type="textWrapping"/>
      </w:r>
      <w:r>
        <w:rPr>
          <w:rFonts w:ascii="仿宋_GB2312" w:hAnsi="ˎ̥" w:eastAsia="仿宋_GB2312"/>
          <w:sz w:val="28"/>
          <w:szCs w:val="28"/>
        </w:rPr>
        <w:t>　　1. 主要类型包括文教建筑、办公建筑、博览建筑、商业建筑、居住建筑、旅游景观建筑等。旧建筑的更新设计包括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历史</w:t>
      </w:r>
      <w:r>
        <w:rPr>
          <w:rFonts w:ascii="仿宋_GB2312" w:hAnsi="ˎ̥" w:eastAsia="仿宋_GB2312"/>
          <w:color w:val="FF0000"/>
          <w:sz w:val="28"/>
          <w:szCs w:val="28"/>
        </w:rPr>
        <w:t>建筑更新、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旧</w:t>
      </w:r>
      <w:r>
        <w:rPr>
          <w:rFonts w:ascii="仿宋_GB2312" w:hAnsi="ˎ̥" w:eastAsia="仿宋_GB2312"/>
          <w:color w:val="FF0000"/>
          <w:sz w:val="28"/>
          <w:szCs w:val="28"/>
        </w:rPr>
        <w:t>建筑改造等</w:t>
      </w:r>
      <w:r>
        <w:rPr>
          <w:rFonts w:ascii="仿宋_GB2312" w:hAnsi="ˎ̥" w:eastAsia="仿宋_GB2312"/>
          <w:sz w:val="28"/>
          <w:szCs w:val="28"/>
        </w:rPr>
        <w:t>。</w:t>
      </w:r>
      <w:r>
        <w:rPr>
          <w:rFonts w:ascii="仿宋_GB2312" w:hAnsi="ˎ̥" w:eastAsia="仿宋_GB2312"/>
          <w:sz w:val="28"/>
          <w:szCs w:val="28"/>
        </w:rPr>
        <w:br w:type="textWrapping"/>
      </w:r>
      <w:r>
        <w:rPr>
          <w:rFonts w:ascii="仿宋_GB2312" w:hAnsi="ˎ̥" w:eastAsia="仿宋_GB2312"/>
          <w:sz w:val="28"/>
          <w:szCs w:val="28"/>
        </w:rPr>
        <w:t>　　2. 尤其关注城市环境中的公共建筑设计，将各种复杂的条件和制约转化为设计问题的思考，并带入到设计研究中去解决问题。</w:t>
      </w:r>
      <w:r>
        <w:rPr>
          <w:rFonts w:ascii="仿宋_GB2312" w:hAnsi="ˎ̥" w:eastAsia="仿宋_GB2312"/>
          <w:sz w:val="28"/>
          <w:szCs w:val="28"/>
        </w:rPr>
        <w:br w:type="textWrapping"/>
      </w:r>
      <w:r>
        <w:rPr>
          <w:rFonts w:hint="eastAsia" w:ascii="仿宋_GB2312" w:hAnsi="ˎ̥" w:eastAsia="仿宋_GB2312"/>
          <w:sz w:val="28"/>
          <w:szCs w:val="28"/>
        </w:rPr>
        <w:t>三、考题要求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1、</w:t>
      </w:r>
      <w:r>
        <w:rPr>
          <w:rFonts w:ascii="仿宋_GB2312" w:hAnsi="ˎ̥" w:eastAsia="仿宋_GB2312"/>
          <w:sz w:val="28"/>
          <w:szCs w:val="28"/>
        </w:rPr>
        <w:t>总平面设计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合理进行总平面布局，考虑建筑</w:t>
      </w:r>
      <w:r>
        <w:rPr>
          <w:rFonts w:hint="eastAsia" w:ascii="仿宋_GB2312" w:hAnsi="ˎ̥" w:eastAsia="仿宋_GB2312"/>
          <w:sz w:val="28"/>
          <w:szCs w:val="28"/>
        </w:rPr>
        <w:t>群体之间的相互关系，以及</w:t>
      </w:r>
      <w:r>
        <w:rPr>
          <w:rFonts w:ascii="仿宋_GB2312" w:hAnsi="ˎ̥" w:eastAsia="仿宋_GB2312"/>
          <w:sz w:val="28"/>
          <w:szCs w:val="28"/>
        </w:rPr>
        <w:t>与周边环境的关系，注意处理好人、车流线关系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2、</w:t>
      </w:r>
      <w:r>
        <w:rPr>
          <w:rFonts w:ascii="仿宋_GB2312" w:hAnsi="ˎ̥" w:eastAsia="仿宋_GB2312"/>
          <w:sz w:val="28"/>
          <w:szCs w:val="28"/>
        </w:rPr>
        <w:t>各层平面设计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根据不同类型建筑进行平面布局，处理好主要空间和次要空间、使用空间和交通空间的关系，使建筑内部空间既联系方便又各自独立；</w:t>
      </w:r>
    </w:p>
    <w:p>
      <w:pPr>
        <w:spacing w:line="360" w:lineRule="auto"/>
        <w:rPr>
          <w:rFonts w:hint="eastAsia" w:ascii="仿宋_GB2312" w:hAnsi="ˎ̥" w:eastAsia="仿宋_GB2312"/>
          <w:color w:val="FF0000"/>
          <w:sz w:val="28"/>
          <w:szCs w:val="28"/>
        </w:rPr>
      </w:pPr>
      <w:r>
        <w:rPr>
          <w:rFonts w:hint="eastAsia" w:ascii="仿宋_GB2312" w:hAnsi="ˎ̥" w:eastAsia="仿宋_GB2312"/>
          <w:color w:val="FF0000"/>
          <w:sz w:val="28"/>
          <w:szCs w:val="28"/>
        </w:rPr>
        <w:t>3、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功能、空间、</w:t>
      </w:r>
      <w:r>
        <w:rPr>
          <w:rFonts w:ascii="仿宋_GB2312" w:hAnsi="ˎ̥" w:eastAsia="仿宋_GB2312"/>
          <w:color w:val="FF0000"/>
          <w:sz w:val="28"/>
          <w:szCs w:val="28"/>
        </w:rPr>
        <w:t>造型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等统合</w:t>
      </w:r>
      <w:r>
        <w:rPr>
          <w:rFonts w:ascii="仿宋_GB2312" w:hAnsi="ˎ̥" w:eastAsia="仿宋_GB2312"/>
          <w:color w:val="FF0000"/>
          <w:sz w:val="28"/>
          <w:szCs w:val="28"/>
        </w:rPr>
        <w:t>设计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color w:val="FF0000"/>
          <w:sz w:val="28"/>
          <w:szCs w:val="28"/>
        </w:rPr>
      </w:pP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结合外部</w:t>
      </w:r>
      <w:r>
        <w:rPr>
          <w:rFonts w:ascii="仿宋_GB2312" w:hAnsi="ˎ̥" w:eastAsia="仿宋_GB2312"/>
          <w:color w:val="FF0000"/>
          <w:sz w:val="28"/>
          <w:szCs w:val="28"/>
        </w:rPr>
        <w:t>环境和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建筑</w:t>
      </w:r>
      <w:r>
        <w:rPr>
          <w:rFonts w:ascii="仿宋_GB2312" w:hAnsi="ˎ̥" w:eastAsia="仿宋_GB2312"/>
          <w:color w:val="FF0000"/>
          <w:sz w:val="28"/>
          <w:szCs w:val="28"/>
        </w:rPr>
        <w:t>进行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统合</w:t>
      </w:r>
      <w:r>
        <w:rPr>
          <w:rFonts w:ascii="仿宋_GB2312" w:hAnsi="ˎ̥" w:eastAsia="仿宋_GB2312"/>
          <w:color w:val="FF0000"/>
          <w:sz w:val="28"/>
          <w:szCs w:val="28"/>
        </w:rPr>
        <w:t>设计，建筑造型应符合其自身的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内部功能和空间逻辑，杜绝无逻辑的造型套用</w:t>
      </w:r>
      <w:r>
        <w:rPr>
          <w:rFonts w:ascii="仿宋_GB2312" w:hAnsi="ˎ̥" w:eastAsia="仿宋_GB2312"/>
          <w:color w:val="FF0000"/>
          <w:sz w:val="28"/>
          <w:szCs w:val="28"/>
        </w:rPr>
        <w:t>，注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重内部空间品质的设计</w:t>
      </w:r>
      <w:r>
        <w:rPr>
          <w:rFonts w:ascii="仿宋_GB2312" w:hAnsi="ˎ̥" w:eastAsia="仿宋_GB2312"/>
          <w:color w:val="FF0000"/>
          <w:sz w:val="28"/>
          <w:szCs w:val="28"/>
        </w:rPr>
        <w:t>。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4、</w:t>
      </w:r>
      <w:r>
        <w:rPr>
          <w:rFonts w:ascii="仿宋_GB2312" w:hAnsi="ˎ̥" w:eastAsia="仿宋_GB2312"/>
          <w:sz w:val="28"/>
          <w:szCs w:val="28"/>
        </w:rPr>
        <w:t>综合知识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熟席相关的规范、条例；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了解相关的结构选型知识和材料知识。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四、</w:t>
      </w:r>
      <w:r>
        <w:rPr>
          <w:rFonts w:ascii="仿宋_GB2312" w:hAnsi="ˎ̥" w:eastAsia="仿宋_GB2312"/>
          <w:sz w:val="28"/>
          <w:szCs w:val="28"/>
        </w:rPr>
        <w:t>图纸表达</w:t>
      </w:r>
    </w:p>
    <w:p>
      <w:pPr>
        <w:spacing w:line="360" w:lineRule="auto"/>
        <w:ind w:firstLine="560" w:firstLineChars="200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●</w:t>
      </w:r>
      <w:r>
        <w:rPr>
          <w:rFonts w:ascii="仿宋_GB2312" w:hAnsi="ˎ̥" w:eastAsia="仿宋_GB2312"/>
          <w:sz w:val="28"/>
          <w:szCs w:val="28"/>
        </w:rPr>
        <w:t>总平面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1、要求标注一道总尺寸，以米为单位；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2、标注建筑层数；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3、标注指北针、室内外标高；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4、标注主次出入口和人车流线。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●</w:t>
      </w:r>
      <w:r>
        <w:rPr>
          <w:rFonts w:ascii="仿宋_GB2312" w:hAnsi="ˎ̥" w:eastAsia="仿宋_GB2312"/>
          <w:sz w:val="28"/>
          <w:szCs w:val="28"/>
        </w:rPr>
        <w:t>各层平面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1、要求标注图纸比例；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2.要求标注两道尺寸；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3</w:t>
      </w:r>
      <w:r>
        <w:rPr>
          <w:rFonts w:ascii="仿宋_GB2312" w:hAnsi="ˎ̥" w:eastAsia="仿宋_GB2312"/>
          <w:sz w:val="28"/>
          <w:szCs w:val="28"/>
        </w:rPr>
        <w:t>、标注各功能空间的名称；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4</w:t>
      </w:r>
      <w:r>
        <w:rPr>
          <w:rFonts w:ascii="仿宋_GB2312" w:hAnsi="ˎ̥" w:eastAsia="仿宋_GB2312"/>
          <w:sz w:val="28"/>
          <w:szCs w:val="28"/>
        </w:rPr>
        <w:t>、正确表达楼梯上下方向。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●</w:t>
      </w:r>
      <w:r>
        <w:rPr>
          <w:rFonts w:ascii="仿宋_GB2312" w:hAnsi="ˎ̥" w:eastAsia="仿宋_GB2312"/>
          <w:sz w:val="28"/>
          <w:szCs w:val="28"/>
        </w:rPr>
        <w:t>立面图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1、要求标注图纸比例；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2、线型表达美观。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●</w:t>
      </w:r>
      <w:r>
        <w:rPr>
          <w:rFonts w:ascii="仿宋_GB2312" w:hAnsi="ˎ̥" w:eastAsia="仿宋_GB2312"/>
          <w:sz w:val="28"/>
          <w:szCs w:val="28"/>
        </w:rPr>
        <w:t>剖面图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1、要求标注比例尺及标高；</w:t>
      </w:r>
    </w:p>
    <w:p>
      <w:pPr>
        <w:spacing w:line="360" w:lineRule="auto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2、要求线型表达能正确反映剖切面各部位的关系。</w:t>
      </w:r>
    </w:p>
    <w:p>
      <w:pPr>
        <w:spacing w:line="360" w:lineRule="auto"/>
        <w:ind w:firstLine="420" w:firstLineChars="150"/>
        <w:rPr>
          <w:rFonts w:hint="default" w:ascii="仿宋_GB2312" w:hAnsi="ˎ̥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ˎ̥" w:eastAsia="仿宋_GB2312"/>
          <w:color w:val="FF0000"/>
          <w:sz w:val="28"/>
          <w:szCs w:val="28"/>
        </w:rPr>
        <w:t>●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其它表达建筑与环境关系、建筑空间逻辑关系的各类图纸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●</w:t>
      </w:r>
      <w:r>
        <w:rPr>
          <w:rFonts w:ascii="仿宋_GB2312" w:hAnsi="ˎ̥" w:eastAsia="仿宋_GB2312"/>
          <w:sz w:val="28"/>
          <w:szCs w:val="28"/>
        </w:rPr>
        <w:t>表现方式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以能</w:t>
      </w:r>
      <w:r>
        <w:rPr>
          <w:rFonts w:hint="eastAsia" w:ascii="仿宋_GB2312" w:hAnsi="ˎ̥" w:eastAsia="仿宋_GB2312"/>
          <w:color w:val="FF0000"/>
          <w:sz w:val="28"/>
          <w:szCs w:val="28"/>
          <w:lang w:val="en-US" w:eastAsia="zh-CN"/>
        </w:rPr>
        <w:t>正确、</w:t>
      </w:r>
      <w:r>
        <w:rPr>
          <w:rFonts w:ascii="仿宋_GB2312" w:hAnsi="ˎ̥" w:eastAsia="仿宋_GB2312"/>
          <w:sz w:val="28"/>
          <w:szCs w:val="28"/>
        </w:rPr>
        <w:t>清楚表达设计概念或意图为原则，具体表达的内容或形式，如平立剖面（含局部）、透视轴测、构造节点、分析图、文字注释、色彩表现及工具等，可以根据表现需要来确定。效果图大小及表现形式必须能清楚地表达设计意图，主要的效果图不得小于A3大小，上色与否详见试卷。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sz w:val="28"/>
          <w:szCs w:val="28"/>
        </w:rPr>
        <w:t>●</w:t>
      </w:r>
      <w:r>
        <w:rPr>
          <w:rFonts w:ascii="仿宋_GB2312" w:hAnsi="ˎ̥" w:eastAsia="仿宋_GB2312"/>
          <w:sz w:val="28"/>
          <w:szCs w:val="28"/>
        </w:rPr>
        <w:t>图幅与版面</w:t>
      </w:r>
    </w:p>
    <w:p>
      <w:pPr>
        <w:spacing w:line="360" w:lineRule="auto"/>
        <w:ind w:firstLine="420" w:firstLineChars="150"/>
        <w:rPr>
          <w:rFonts w:hint="eastAsia" w:ascii="仿宋_GB2312" w:hAnsi="ˎ̥" w:eastAsia="仿宋_GB2312"/>
          <w:sz w:val="28"/>
          <w:szCs w:val="28"/>
        </w:rPr>
      </w:pPr>
      <w:r>
        <w:rPr>
          <w:rFonts w:ascii="仿宋_GB2312" w:hAnsi="ˎ̥" w:eastAsia="仿宋_GB2312"/>
          <w:sz w:val="28"/>
          <w:szCs w:val="28"/>
        </w:rPr>
        <w:t>采取</w:t>
      </w:r>
      <w:r>
        <w:rPr>
          <w:rFonts w:hint="eastAsia" w:ascii="仿宋_GB2312" w:hAnsi="ˎ̥" w:eastAsia="仿宋_GB2312"/>
          <w:sz w:val="28"/>
          <w:szCs w:val="28"/>
        </w:rPr>
        <w:t>A2拷贝纸</w:t>
      </w:r>
      <w:r>
        <w:rPr>
          <w:rFonts w:ascii="仿宋_GB2312" w:hAnsi="ˎ̥" w:eastAsia="仿宋_GB2312"/>
          <w:sz w:val="28"/>
          <w:szCs w:val="28"/>
        </w:rPr>
        <w:t xml:space="preserve"> </w:t>
      </w:r>
      <w:r>
        <w:rPr>
          <w:rFonts w:hint="eastAsia" w:ascii="仿宋_GB2312" w:hAnsi="ˎ̥" w:eastAsia="仿宋_GB2312"/>
          <w:sz w:val="28"/>
          <w:szCs w:val="28"/>
        </w:rPr>
        <w:t>3-5</w:t>
      </w:r>
      <w:r>
        <w:rPr>
          <w:rFonts w:ascii="仿宋_GB2312" w:hAnsi="ˎ̥" w:eastAsia="仿宋_GB2312"/>
          <w:sz w:val="28"/>
          <w:szCs w:val="28"/>
        </w:rPr>
        <w:t>张，</w:t>
      </w:r>
      <w:r>
        <w:rPr>
          <w:rFonts w:hint="eastAsia" w:ascii="仿宋_GB2312" w:hAnsi="ˎ̥" w:eastAsia="仿宋_GB2312"/>
          <w:sz w:val="28"/>
          <w:szCs w:val="28"/>
        </w:rPr>
        <w:t>可以</w:t>
      </w:r>
      <w:r>
        <w:rPr>
          <w:rFonts w:ascii="仿宋_GB2312" w:hAnsi="ˎ̥" w:eastAsia="仿宋_GB2312"/>
          <w:sz w:val="28"/>
          <w:szCs w:val="28"/>
        </w:rPr>
        <w:t>以不透明纸衬底。图纸规格必须严格保持一致，若有不合要求图纸，一律作废。自带图纸。草稿纸及考卷在考试后一律回收。版面布置应力求整洁规范。有多张图纸时，横、竖构图形式要求一致，设计标题格式应统一。特殊情况详见具体考试时的要求。</w:t>
      </w:r>
      <w:r>
        <w:rPr>
          <w:rFonts w:ascii="仿宋_GB2312" w:hAnsi="ˎ̥" w:eastAsia="仿宋_GB2312"/>
          <w:sz w:val="28"/>
          <w:szCs w:val="28"/>
        </w:rPr>
        <w:br w:type="textWrapping"/>
      </w: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p>
      <w:pPr>
        <w:pStyle w:val="8"/>
        <w:rPr>
          <w:rFonts w:hint="eastAsia" w:ascii="仿宋_GB2312" w:hAnsi="ˎ̥" w:eastAsia="仿宋_GB2312" w:cs="Times New Roman"/>
          <w:kern w:val="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0C1"/>
    <w:multiLevelType w:val="multilevel"/>
    <w:tmpl w:val="4CD000C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20067"/>
    <w:rsid w:val="00027297"/>
    <w:rsid w:val="00050423"/>
    <w:rsid w:val="00097041"/>
    <w:rsid w:val="000A1C9E"/>
    <w:rsid w:val="000B70D2"/>
    <w:rsid w:val="000C4F38"/>
    <w:rsid w:val="000D1371"/>
    <w:rsid w:val="000E72A1"/>
    <w:rsid w:val="001079E7"/>
    <w:rsid w:val="001469F8"/>
    <w:rsid w:val="001B0279"/>
    <w:rsid w:val="001B4879"/>
    <w:rsid w:val="001C226B"/>
    <w:rsid w:val="001F6F1A"/>
    <w:rsid w:val="00251793"/>
    <w:rsid w:val="002807F8"/>
    <w:rsid w:val="002848E4"/>
    <w:rsid w:val="002A1E3A"/>
    <w:rsid w:val="002A35EF"/>
    <w:rsid w:val="00310975"/>
    <w:rsid w:val="00351630"/>
    <w:rsid w:val="003642AE"/>
    <w:rsid w:val="00376676"/>
    <w:rsid w:val="003A4E50"/>
    <w:rsid w:val="003A5F40"/>
    <w:rsid w:val="003B564D"/>
    <w:rsid w:val="003C7E38"/>
    <w:rsid w:val="003D178D"/>
    <w:rsid w:val="003E1711"/>
    <w:rsid w:val="004001D9"/>
    <w:rsid w:val="00453709"/>
    <w:rsid w:val="00464EDA"/>
    <w:rsid w:val="004708C9"/>
    <w:rsid w:val="004738F8"/>
    <w:rsid w:val="00492CD3"/>
    <w:rsid w:val="004A5BE8"/>
    <w:rsid w:val="004F1661"/>
    <w:rsid w:val="00504A6C"/>
    <w:rsid w:val="005375C6"/>
    <w:rsid w:val="005470A1"/>
    <w:rsid w:val="00554810"/>
    <w:rsid w:val="005F2B3E"/>
    <w:rsid w:val="00615973"/>
    <w:rsid w:val="0064657C"/>
    <w:rsid w:val="00663332"/>
    <w:rsid w:val="00675523"/>
    <w:rsid w:val="006A55F8"/>
    <w:rsid w:val="006D2B89"/>
    <w:rsid w:val="006E3882"/>
    <w:rsid w:val="00714D8E"/>
    <w:rsid w:val="00736284"/>
    <w:rsid w:val="0073704A"/>
    <w:rsid w:val="00746C86"/>
    <w:rsid w:val="00792580"/>
    <w:rsid w:val="00794BC8"/>
    <w:rsid w:val="007A387E"/>
    <w:rsid w:val="00830BF3"/>
    <w:rsid w:val="00852EAD"/>
    <w:rsid w:val="00856C92"/>
    <w:rsid w:val="00894DA5"/>
    <w:rsid w:val="0090015B"/>
    <w:rsid w:val="00907C47"/>
    <w:rsid w:val="00912FA0"/>
    <w:rsid w:val="00972CA3"/>
    <w:rsid w:val="00997136"/>
    <w:rsid w:val="009B3A84"/>
    <w:rsid w:val="009C6AB2"/>
    <w:rsid w:val="00A22AE6"/>
    <w:rsid w:val="00A60728"/>
    <w:rsid w:val="00AB55C9"/>
    <w:rsid w:val="00AB71F5"/>
    <w:rsid w:val="00AD5D60"/>
    <w:rsid w:val="00AE24B9"/>
    <w:rsid w:val="00B11CB0"/>
    <w:rsid w:val="00B26E2E"/>
    <w:rsid w:val="00B35514"/>
    <w:rsid w:val="00B6685D"/>
    <w:rsid w:val="00B773C3"/>
    <w:rsid w:val="00BC0E46"/>
    <w:rsid w:val="00BD17DF"/>
    <w:rsid w:val="00BD3117"/>
    <w:rsid w:val="00BD45CA"/>
    <w:rsid w:val="00BE5D81"/>
    <w:rsid w:val="00BF652C"/>
    <w:rsid w:val="00C260D0"/>
    <w:rsid w:val="00C65EF3"/>
    <w:rsid w:val="00C857DE"/>
    <w:rsid w:val="00CB37DB"/>
    <w:rsid w:val="00D13ADC"/>
    <w:rsid w:val="00D509D1"/>
    <w:rsid w:val="00DB00F0"/>
    <w:rsid w:val="00DB1A5F"/>
    <w:rsid w:val="00DC1A09"/>
    <w:rsid w:val="00DE47C7"/>
    <w:rsid w:val="00E34FE7"/>
    <w:rsid w:val="00E45DDB"/>
    <w:rsid w:val="00E52F1D"/>
    <w:rsid w:val="00E72ED9"/>
    <w:rsid w:val="00EE57D4"/>
    <w:rsid w:val="00F0583E"/>
    <w:rsid w:val="00F25B53"/>
    <w:rsid w:val="00FB269E"/>
    <w:rsid w:val="00FC74BB"/>
    <w:rsid w:val="00FF7110"/>
    <w:rsid w:val="041B2C2D"/>
    <w:rsid w:val="17CE3D85"/>
    <w:rsid w:val="19787518"/>
    <w:rsid w:val="55336B91"/>
    <w:rsid w:val="57416BC6"/>
    <w:rsid w:val="75872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xwcss"/>
    <w:basedOn w:val="10"/>
    <w:uiPriority w:val="0"/>
  </w:style>
  <w:style w:type="character" w:customStyle="1" w:styleId="14">
    <w:name w:val="conten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5</Pages>
  <Words>1446</Words>
  <Characters>1478</Characters>
  <Lines>13</Lines>
  <Paragraphs>3</Paragraphs>
  <TotalTime>8</TotalTime>
  <ScaleCrop>false</ScaleCrop>
  <LinksUpToDate>false</LinksUpToDate>
  <CharactersWithSpaces>1805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2011-09-06T09:41:00Z</dcterms:created>
  <dc:creator>YlmF</dc:creator>
  <cp:lastModifiedBy>vertesyuan</cp:lastModifiedBy>
  <cp:lastPrinted>2009-09-11T09:00:00Z</cp:lastPrinted>
  <dcterms:modified xsi:type="dcterms:W3CDTF">2021-12-08T08:12:23Z</dcterms:modified>
  <dc:title>研究生部研招字[2008]02号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E216F5DA1E294081AFFFDE282E1940EB</vt:lpwstr>
  </property>
</Properties>
</file>