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宋体" w:hAnsi="宋体" w:cs="宋体"/>
          <w:bCs/>
          <w:color w:val="000000"/>
          <w:sz w:val="36"/>
          <w:szCs w:val="36"/>
        </w:rPr>
      </w:pPr>
      <w:bookmarkStart w:id="0" w:name="_GoBack"/>
      <w:bookmarkEnd w:id="0"/>
      <w:r>
        <w:rPr>
          <w:rFonts w:hint="eastAsia" w:ascii="宋体" w:hAnsi="宋体" w:cs="宋体"/>
          <w:b/>
          <w:sz w:val="36"/>
          <w:szCs w:val="36"/>
          <w:lang w:bidi="hi-IN"/>
        </w:rPr>
        <w:t>202</w:t>
      </w:r>
      <w:r>
        <w:rPr>
          <w:rFonts w:hint="eastAsia" w:ascii="宋体" w:hAnsi="宋体" w:cs="宋体"/>
          <w:b/>
          <w:sz w:val="36"/>
          <w:szCs w:val="36"/>
          <w:lang w:val="en-US" w:eastAsia="zh-CN" w:bidi="hi-IN"/>
        </w:rPr>
        <w:t>2</w:t>
      </w:r>
      <w:r>
        <w:rPr>
          <w:rFonts w:hint="eastAsia" w:ascii="宋体" w:hAnsi="宋体" w:cs="宋体"/>
          <w:b/>
          <w:color w:val="000000"/>
          <w:sz w:val="36"/>
          <w:szCs w:val="36"/>
        </w:rPr>
        <w:t>年马克思主义理论硕士研究生招生考试大纲</w:t>
      </w:r>
    </w:p>
    <w:p>
      <w:pPr>
        <w:spacing w:line="400" w:lineRule="exact"/>
        <w:ind w:firstLine="482" w:firstLineChars="150"/>
        <w:jc w:val="center"/>
        <w:rPr>
          <w:rFonts w:hint="eastAsia" w:ascii="仿宋" w:hAnsi="仿宋" w:eastAsia="仿宋"/>
          <w:b/>
          <w:color w:val="000000"/>
          <w:sz w:val="32"/>
          <w:szCs w:val="32"/>
        </w:rPr>
      </w:pPr>
    </w:p>
    <w:p>
      <w:pPr>
        <w:spacing w:line="500" w:lineRule="exact"/>
        <w:ind w:left="4320" w:hanging="4320" w:hangingChars="1800"/>
        <w:jc w:val="left"/>
        <w:rPr>
          <w:rFonts w:hint="eastAsia"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考试科目代码：</w:t>
      </w:r>
      <w:r>
        <w:rPr>
          <w:rFonts w:hint="eastAsia" w:ascii="仿宋" w:hAnsi="仿宋" w:eastAsia="仿宋"/>
          <w:color w:val="000000"/>
          <w:sz w:val="24"/>
          <w:szCs w:val="24"/>
        </w:rPr>
        <w:t xml:space="preserve">804       </w:t>
      </w:r>
    </w:p>
    <w:p>
      <w:pPr>
        <w:spacing w:line="500" w:lineRule="exact"/>
        <w:ind w:left="4320" w:hanging="4320" w:hangingChars="1800"/>
        <w:jc w:val="left"/>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考试科目名称：</w:t>
      </w:r>
      <w:r>
        <w:rPr>
          <w:rFonts w:hint="eastAsia" w:ascii="仿宋" w:hAnsi="仿宋" w:eastAsia="仿宋"/>
          <w:b/>
          <w:color w:val="000000"/>
          <w:sz w:val="24"/>
          <w:szCs w:val="24"/>
        </w:rPr>
        <w:t>毛泽东思想和中国特色社会主义理论体系概论</w:t>
      </w:r>
    </w:p>
    <w:p>
      <w:pPr>
        <w:spacing w:before="156" w:beforeLines="50" w:after="156" w:afterLines="50" w:line="500" w:lineRule="exact"/>
        <w:rPr>
          <w:rFonts w:hint="eastAsia" w:ascii="仿宋" w:hAnsi="仿宋" w:eastAsia="仿宋"/>
          <w:b/>
          <w:color w:val="000000"/>
          <w:sz w:val="28"/>
          <w:szCs w:val="28"/>
        </w:rPr>
      </w:pPr>
      <w:r>
        <w:rPr>
          <w:rFonts w:hint="eastAsia" w:ascii="仿宋" w:hAnsi="仿宋" w:eastAsia="仿宋"/>
          <w:b/>
          <w:color w:val="000000"/>
          <w:sz w:val="28"/>
          <w:szCs w:val="28"/>
        </w:rPr>
        <w:t xml:space="preserve">    一、试卷结构</w:t>
      </w:r>
    </w:p>
    <w:p>
      <w:pPr>
        <w:spacing w:line="400" w:lineRule="exact"/>
        <w:ind w:firstLine="560" w:firstLineChars="20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1、试卷成绩及考试时间</w:t>
      </w:r>
    </w:p>
    <w:p>
      <w:pPr>
        <w:spacing w:line="400" w:lineRule="exact"/>
        <w:ind w:firstLine="840" w:firstLineChars="30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本试卷满分为150分，考试时间为180分钟。</w:t>
      </w:r>
    </w:p>
    <w:p>
      <w:pPr>
        <w:spacing w:line="400" w:lineRule="exact"/>
        <w:ind w:firstLine="560" w:firstLineChars="20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2、答题方式：闭卷、笔试</w:t>
      </w:r>
    </w:p>
    <w:p>
      <w:pPr>
        <w:spacing w:line="400" w:lineRule="exact"/>
        <w:ind w:firstLine="560" w:firstLineChars="20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3、试卷内容结构</w:t>
      </w:r>
    </w:p>
    <w:p>
      <w:pPr>
        <w:spacing w:line="400" w:lineRule="exact"/>
        <w:ind w:firstLine="840" w:firstLineChars="30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毛泽东思想：约20%；邓小平理论、“三个代表”重要思想、科学发展观：约20%；习近平新时代中国特色社会主义思想：约60%</w:t>
      </w:r>
    </w:p>
    <w:p>
      <w:pPr>
        <w:spacing w:line="400" w:lineRule="exact"/>
        <w:ind w:firstLine="560" w:firstLineChars="20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4、题型结构</w:t>
      </w:r>
    </w:p>
    <w:p>
      <w:pPr>
        <w:spacing w:line="400" w:lineRule="exact"/>
        <w:ind w:firstLine="840" w:firstLineChars="30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简答题：5小题，每小题15分，共75分。</w:t>
      </w:r>
    </w:p>
    <w:p>
      <w:pPr>
        <w:spacing w:line="400" w:lineRule="exact"/>
        <w:ind w:firstLine="840" w:firstLineChars="30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论述题：2小题，每小题分别为35分和40分，共75分。</w:t>
      </w:r>
    </w:p>
    <w:p>
      <w:pPr>
        <w:spacing w:before="156" w:beforeLines="50" w:after="156" w:afterLines="50" w:line="50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二、考试目标、要求</w:t>
      </w:r>
    </w:p>
    <w:p>
      <w:pPr>
        <w:spacing w:line="400" w:lineRule="exact"/>
        <w:ind w:firstLine="560" w:firstLineChars="200"/>
        <w:rPr>
          <w:rFonts w:hint="eastAsia" w:ascii="仿宋" w:hAnsi="仿宋" w:eastAsia="仿宋"/>
          <w:color w:val="000000"/>
          <w:sz w:val="28"/>
          <w:szCs w:val="28"/>
          <w:lang w:bidi="hi-IN"/>
        </w:rPr>
      </w:pPr>
      <w:r>
        <w:rPr>
          <w:rFonts w:hint="eastAsia" w:ascii="仿宋" w:hAnsi="仿宋" w:eastAsia="仿宋"/>
          <w:color w:val="000000"/>
          <w:sz w:val="28"/>
          <w:szCs w:val="28"/>
          <w:lang w:bidi="hi-IN"/>
        </w:rPr>
        <w:t>要求考生了解毛泽东思想和中国特色社会主义理论体系的科学内涵、主要内容和重要指导意义。理解和掌握马克思主义中国化的科学内涵和历史进程，清楚马克思主义中国化是将马克思主义基本原理同中国的具体实际相结合。掌握毛泽东思想是马克思主义中国化第一次历史性飞跃的理论成果，是党和人民的宝贵财富。理解中国特色社会主义理论体系是马克思主义中国化第二次历史性飞跃的理论成果，是马克思主义在中国发展的新阶段。领会和运用毛泽东思想和中国特色社会主义理论体系的基本原理分析中国经济社会发展的重大理论和现实问题。</w:t>
      </w:r>
    </w:p>
    <w:p>
      <w:pPr>
        <w:spacing w:before="156" w:beforeLines="50" w:after="156" w:afterLines="50" w:line="50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三、考试内容</w:t>
      </w:r>
    </w:p>
    <w:p>
      <w:pPr>
        <w:spacing w:line="500" w:lineRule="exact"/>
        <w:jc w:val="center"/>
        <w:rPr>
          <w:rFonts w:hint="eastAsia" w:ascii="仿宋" w:hAnsi="仿宋" w:eastAsia="仿宋"/>
          <w:b/>
          <w:bCs/>
          <w:color w:val="000000"/>
          <w:kern w:val="0"/>
          <w:sz w:val="32"/>
          <w:szCs w:val="32"/>
          <w:lang w:bidi="hi-IN"/>
        </w:rPr>
      </w:pPr>
      <w:r>
        <w:rPr>
          <w:rFonts w:hint="eastAsia" w:ascii="仿宋" w:hAnsi="仿宋" w:eastAsia="仿宋"/>
          <w:b/>
          <w:bCs/>
          <w:color w:val="000000"/>
          <w:kern w:val="0"/>
          <w:sz w:val="32"/>
          <w:szCs w:val="32"/>
          <w:lang w:bidi="hi-IN"/>
        </w:rPr>
        <w:t>毛泽东思想</w:t>
      </w:r>
    </w:p>
    <w:p>
      <w:pPr>
        <w:spacing w:line="500" w:lineRule="exact"/>
        <w:jc w:val="center"/>
        <w:rPr>
          <w:rFonts w:hint="eastAsia" w:ascii="仿宋" w:hAnsi="仿宋" w:eastAsia="仿宋"/>
          <w:b/>
          <w:bCs/>
          <w:color w:val="000000"/>
          <w:kern w:val="0"/>
          <w:sz w:val="32"/>
          <w:szCs w:val="32"/>
          <w:lang w:bidi="hi-IN"/>
        </w:rPr>
      </w:pP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（一）毛泽东思想及其历史地位总论</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1.毛泽东思想的形成和发展</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毛泽东思想形成发展的历史条件；毛泽东思想形成发展的过程</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2.毛泽东思想的主要内容和活的灵魂</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毛泽东思想的主要内容；毛泽东思想活的灵魂</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3.毛泽东思想的历史地位</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马克思主义中国化的第一个重大理论成果；中国革命和建设的科学指南；中国共产党和中国人民宝贵的精神财富</w:t>
      </w:r>
    </w:p>
    <w:p>
      <w:pPr>
        <w:spacing w:line="400" w:lineRule="exact"/>
        <w:ind w:firstLine="422" w:firstLineChars="150"/>
        <w:rPr>
          <w:rFonts w:hint="eastAsia" w:ascii="仿宋" w:hAnsi="仿宋" w:eastAsia="仿宋"/>
          <w:color w:val="000000"/>
          <w:kern w:val="0"/>
          <w:sz w:val="28"/>
          <w:szCs w:val="28"/>
          <w:lang w:bidi="hi-IN"/>
        </w:rPr>
      </w:pPr>
      <w:r>
        <w:rPr>
          <w:rFonts w:hint="eastAsia" w:ascii="仿宋" w:hAnsi="仿宋" w:eastAsia="仿宋"/>
          <w:b/>
          <w:bCs/>
          <w:color w:val="000000"/>
          <w:kern w:val="0"/>
          <w:sz w:val="28"/>
          <w:szCs w:val="28"/>
          <w:lang w:bidi="hi-IN"/>
        </w:rPr>
        <w:t>（二）新民主主义革命理论</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1.新民主主义革命理论形成的依据</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近代中国国情和中国革命的时代特征；新民主主义革命理论的实践基础</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2.新民主主义革命的总路线和基本纲领</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新民主主义革命的总路线；新民主主义的基本纲领</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3.新民主主义革命的道路和基本经验</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新民主主义革命的道路；新民主主义革命的三大法宝；新民主主义革命理论的意义</w:t>
      </w:r>
    </w:p>
    <w:p>
      <w:pPr>
        <w:spacing w:line="400" w:lineRule="exact"/>
        <w:ind w:firstLine="422" w:firstLineChars="150"/>
        <w:rPr>
          <w:rFonts w:hint="eastAsia" w:ascii="仿宋" w:hAnsi="仿宋" w:eastAsia="仿宋"/>
          <w:color w:val="000000"/>
          <w:kern w:val="0"/>
          <w:sz w:val="28"/>
          <w:szCs w:val="28"/>
          <w:lang w:bidi="hi-IN"/>
        </w:rPr>
      </w:pPr>
      <w:r>
        <w:rPr>
          <w:rFonts w:hint="eastAsia" w:ascii="仿宋" w:hAnsi="仿宋" w:eastAsia="仿宋"/>
          <w:b/>
          <w:bCs/>
          <w:color w:val="000000"/>
          <w:kern w:val="0"/>
          <w:sz w:val="28"/>
          <w:szCs w:val="28"/>
          <w:lang w:bidi="hi-IN"/>
        </w:rPr>
        <w:t>（三）社会主义改造理论</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1.从新民主主义到社会主义的转变</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新民主主义社会是一个过渡性的社会；党在过渡时期的总路线及其理论依据</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2.社会主义改造道路和历史经验</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适合中国特点的社会主义改造道路；社会主义改造的历史经验</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3.社会主义制度在中国的确立</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社会主义基本制度的确立及其理论根据；确立社会主义基本制度的重大意义</w:t>
      </w: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（四）社会主义建设道路初步探索的理论成果</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1.初步探索的重要理论成果</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调动一切积极因素为社会主义事业服务；正确认识和处理社会主义社会矛盾的思想；走中国工业化道路的思想</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2.初步探索的意义和经验教训</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初步探索的意义；初步探索的经验教训</w:t>
      </w:r>
    </w:p>
    <w:p>
      <w:pPr>
        <w:spacing w:line="400" w:lineRule="exact"/>
        <w:ind w:firstLine="420" w:firstLineChars="150"/>
        <w:rPr>
          <w:rFonts w:hint="eastAsia" w:ascii="仿宋" w:hAnsi="仿宋" w:eastAsia="仿宋"/>
          <w:color w:val="000000"/>
          <w:kern w:val="0"/>
          <w:sz w:val="28"/>
          <w:szCs w:val="28"/>
          <w:lang w:bidi="hi-IN"/>
        </w:rPr>
      </w:pPr>
    </w:p>
    <w:p>
      <w:pPr>
        <w:spacing w:line="400" w:lineRule="exact"/>
        <w:ind w:firstLine="422" w:firstLineChars="150"/>
        <w:jc w:val="center"/>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邓小平理论、“三个代表”重要思想、科学发展观</w:t>
      </w:r>
    </w:p>
    <w:p>
      <w:pPr>
        <w:spacing w:line="400" w:lineRule="exact"/>
        <w:ind w:firstLine="422" w:firstLineChars="150"/>
        <w:jc w:val="center"/>
        <w:rPr>
          <w:rFonts w:hint="eastAsia" w:ascii="仿宋" w:hAnsi="仿宋" w:eastAsia="仿宋"/>
          <w:b/>
          <w:bCs/>
          <w:color w:val="000000"/>
          <w:kern w:val="0"/>
          <w:sz w:val="28"/>
          <w:szCs w:val="28"/>
          <w:lang w:bidi="hi-IN"/>
        </w:rPr>
      </w:pP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（五）邓小平理论</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1.邓小平理论的形成</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邓小平理论形成的条件；邓小平理论的形成过程</w:t>
      </w:r>
    </w:p>
    <w:p>
      <w:pPr>
        <w:spacing w:line="400" w:lineRule="exact"/>
        <w:ind w:firstLine="420" w:firstLineChars="150"/>
        <w:rPr>
          <w:rFonts w:ascii="仿宋" w:hAnsi="仿宋" w:eastAsia="仿宋"/>
          <w:color w:val="000000"/>
          <w:kern w:val="0"/>
          <w:sz w:val="28"/>
          <w:szCs w:val="28"/>
          <w:lang w:bidi="hi-IN"/>
        </w:rPr>
      </w:pPr>
      <w:r>
        <w:rPr>
          <w:rFonts w:hint="eastAsia" w:ascii="仿宋" w:hAnsi="仿宋" w:eastAsia="仿宋"/>
          <w:color w:val="000000"/>
          <w:kern w:val="0"/>
          <w:sz w:val="28"/>
          <w:szCs w:val="28"/>
          <w:lang w:bidi="hi-IN"/>
        </w:rPr>
        <w:t>2.邓小平理论的基本问题和主要内容</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邓小平理论的回答的基本问题；邓小平理论的主要内容</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3.邓小平理论的历史地位</w:t>
      </w:r>
    </w:p>
    <w:p>
      <w:pPr>
        <w:spacing w:line="400" w:lineRule="exact"/>
        <w:ind w:firstLine="420" w:firstLineChars="150"/>
        <w:rPr>
          <w:rFonts w:ascii="仿宋" w:hAnsi="仿宋" w:eastAsia="仿宋"/>
          <w:color w:val="000000"/>
          <w:kern w:val="0"/>
          <w:sz w:val="28"/>
          <w:szCs w:val="28"/>
          <w:lang w:bidi="hi-IN"/>
        </w:rPr>
      </w:pPr>
      <w:r>
        <w:rPr>
          <w:rFonts w:hint="eastAsia" w:ascii="仿宋" w:hAnsi="仿宋" w:eastAsia="仿宋"/>
          <w:color w:val="000000"/>
          <w:kern w:val="0"/>
          <w:sz w:val="28"/>
          <w:szCs w:val="28"/>
          <w:lang w:bidi="hi-IN"/>
        </w:rPr>
        <w:t>马克思列宁主义、毛泽东思想的继承和发展；中国特色社会主义理论体系的开篇之作；改革开放和社会主义现代化建设的科学指南</w:t>
      </w: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（六） “三个代表”重要思想</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1.“三个代表”重要思想的形成</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“三个代表”重要思想的形成条件；“三个代表”重要思想的形成过程</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2.“三个代表”重要思想的核心观点和主要内容</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“三个代表”重要思想的核心观点；“三个代表”重要思想的主要内容</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3.“三个代表”重要思想的历史地位</w:t>
      </w:r>
    </w:p>
    <w:p>
      <w:pPr>
        <w:spacing w:line="400" w:lineRule="exact"/>
        <w:ind w:firstLine="420" w:firstLineChars="150"/>
        <w:rPr>
          <w:rFonts w:ascii="仿宋" w:hAnsi="仿宋" w:eastAsia="仿宋"/>
          <w:color w:val="000000"/>
          <w:kern w:val="0"/>
          <w:sz w:val="28"/>
          <w:szCs w:val="28"/>
          <w:lang w:bidi="hi-IN"/>
        </w:rPr>
      </w:pPr>
      <w:r>
        <w:rPr>
          <w:rFonts w:hint="eastAsia" w:ascii="仿宋" w:hAnsi="仿宋" w:eastAsia="仿宋"/>
          <w:color w:val="000000"/>
          <w:kern w:val="0"/>
          <w:sz w:val="28"/>
          <w:szCs w:val="28"/>
          <w:lang w:bidi="hi-IN"/>
        </w:rPr>
        <w:t>中国特色社会主义理论体系的接续发展；加强和改进党的建设，推进中国特色社会主义事业的强大理论武器</w:t>
      </w: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（七）科学发展观</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1.科学发展观的形成</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科学发展观的形成条件；科学发展观的形成过程</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2.科学发展观的科学内涵和主要内容</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科学发展观的科学内涵；科学发展观的主要内容</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3.科学发展观的历史地位</w:t>
      </w:r>
    </w:p>
    <w:p>
      <w:pPr>
        <w:spacing w:line="400" w:lineRule="exact"/>
        <w:ind w:firstLine="420" w:firstLineChars="150"/>
        <w:rPr>
          <w:rFonts w:ascii="仿宋" w:hAnsi="仿宋" w:eastAsia="仿宋"/>
          <w:color w:val="000000"/>
          <w:kern w:val="0"/>
          <w:sz w:val="28"/>
          <w:szCs w:val="28"/>
          <w:lang w:bidi="hi-IN"/>
        </w:rPr>
      </w:pPr>
      <w:r>
        <w:rPr>
          <w:rFonts w:hint="eastAsia" w:ascii="仿宋" w:hAnsi="仿宋" w:eastAsia="仿宋"/>
          <w:color w:val="000000"/>
          <w:kern w:val="0"/>
          <w:sz w:val="28"/>
          <w:szCs w:val="28"/>
          <w:lang w:bidi="hi-IN"/>
        </w:rPr>
        <w:t>中国特色社会主义理论体系的接续发展；发展中国特色社会主义必须长期坚持的指导思想</w:t>
      </w:r>
    </w:p>
    <w:p>
      <w:pPr>
        <w:spacing w:line="400" w:lineRule="exact"/>
        <w:ind w:firstLine="420" w:firstLineChars="150"/>
        <w:rPr>
          <w:rFonts w:hint="eastAsia" w:ascii="仿宋" w:hAnsi="仿宋" w:eastAsia="仿宋"/>
          <w:color w:val="000000"/>
          <w:kern w:val="0"/>
          <w:sz w:val="28"/>
          <w:szCs w:val="28"/>
          <w:lang w:bidi="hi-IN"/>
        </w:rPr>
      </w:pPr>
    </w:p>
    <w:p>
      <w:pPr>
        <w:spacing w:line="400" w:lineRule="exact"/>
        <w:ind w:firstLine="422" w:firstLineChars="150"/>
        <w:jc w:val="center"/>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习近平新时代中国特色社会主义思想</w:t>
      </w:r>
    </w:p>
    <w:p>
      <w:pPr>
        <w:spacing w:line="400" w:lineRule="exact"/>
        <w:ind w:firstLine="422" w:firstLineChars="150"/>
        <w:jc w:val="center"/>
        <w:rPr>
          <w:rFonts w:hint="eastAsia" w:ascii="仿宋" w:hAnsi="仿宋" w:eastAsia="仿宋"/>
          <w:b/>
          <w:bCs/>
          <w:color w:val="000000"/>
          <w:kern w:val="0"/>
          <w:sz w:val="28"/>
          <w:szCs w:val="28"/>
          <w:lang w:bidi="hi-IN"/>
        </w:rPr>
      </w:pP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（八）习近平新时代中国特色社会主义思想及其历史地位</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1.中国特色社会主义进入新时代</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历史性成就和历史性变革；社会主要矛盾的变化；新时代的内涵和意义</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2.习近平新时代中国特色社会主义思想的主要内容</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习近平新时代中国特色社会主义思想的核心要义和丰富内涵；坚持和发展中国特色社会主义的基本方略</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3.习近平新时代中国特色社会主义思想的历史地位</w:t>
      </w:r>
    </w:p>
    <w:p>
      <w:pPr>
        <w:spacing w:line="400" w:lineRule="exact"/>
        <w:ind w:firstLine="420" w:firstLineChars="150"/>
        <w:rPr>
          <w:rFonts w:ascii="仿宋" w:hAnsi="仿宋" w:eastAsia="仿宋"/>
          <w:color w:val="000000"/>
          <w:kern w:val="0"/>
          <w:sz w:val="28"/>
          <w:szCs w:val="28"/>
          <w:lang w:bidi="hi-IN"/>
        </w:rPr>
      </w:pPr>
      <w:r>
        <w:rPr>
          <w:rFonts w:hint="eastAsia" w:ascii="仿宋" w:hAnsi="仿宋" w:eastAsia="仿宋"/>
          <w:color w:val="000000"/>
          <w:kern w:val="0"/>
          <w:sz w:val="28"/>
          <w:szCs w:val="28"/>
          <w:lang w:bidi="hi-IN"/>
        </w:rPr>
        <w:t>马克思主义中国化最新成果；新时代的精神旗帜；实现中华民族伟大复兴的行动指南</w:t>
      </w: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（九）坚持和发展中国特色社会主义总任务</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1.实现中华民族伟大复兴的中国梦</w:t>
      </w:r>
    </w:p>
    <w:p>
      <w:pPr>
        <w:spacing w:line="400" w:lineRule="exact"/>
        <w:ind w:firstLine="420" w:firstLineChars="150"/>
        <w:rPr>
          <w:rFonts w:ascii="仿宋" w:hAnsi="仿宋" w:eastAsia="仿宋"/>
          <w:color w:val="000000"/>
          <w:kern w:val="0"/>
          <w:sz w:val="28"/>
          <w:szCs w:val="28"/>
          <w:lang w:bidi="hi-IN"/>
        </w:rPr>
      </w:pPr>
      <w:r>
        <w:rPr>
          <w:rFonts w:hint="eastAsia" w:ascii="仿宋" w:hAnsi="仿宋" w:eastAsia="仿宋"/>
          <w:color w:val="000000"/>
          <w:kern w:val="0"/>
          <w:sz w:val="28"/>
          <w:szCs w:val="28"/>
          <w:lang w:bidi="hi-IN"/>
        </w:rPr>
        <w:t>中华民族近代以来最伟大的梦想；中国梦的科学内涵；奋力实现中国梦</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2.建成社会主义现代化强国的战略安排</w:t>
      </w:r>
    </w:p>
    <w:p>
      <w:pPr>
        <w:spacing w:line="400" w:lineRule="exact"/>
        <w:ind w:firstLine="420" w:firstLineChars="150"/>
        <w:rPr>
          <w:rFonts w:ascii="仿宋" w:hAnsi="仿宋" w:eastAsia="仿宋"/>
          <w:color w:val="000000"/>
          <w:kern w:val="0"/>
          <w:sz w:val="28"/>
          <w:szCs w:val="28"/>
          <w:lang w:bidi="hi-IN"/>
        </w:rPr>
      </w:pPr>
      <w:r>
        <w:rPr>
          <w:rFonts w:hint="eastAsia" w:ascii="仿宋" w:hAnsi="仿宋" w:eastAsia="仿宋"/>
          <w:color w:val="000000"/>
          <w:kern w:val="0"/>
          <w:sz w:val="28"/>
          <w:szCs w:val="28"/>
          <w:lang w:bidi="hi-IN"/>
        </w:rPr>
        <w:t>开启全面建设社会主义现代化强国的新征程；实现社会主义现代化强国“两步走”战略的具体安排</w:t>
      </w: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（十）“五位一体”总体布局</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1.建设现代化经济体系</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贯彻新发展理念；深化供给侧结构性改革；建设现代化经济体系的主要任务</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2.发展社会主义民主政治</w:t>
      </w:r>
    </w:p>
    <w:p>
      <w:pPr>
        <w:spacing w:line="400" w:lineRule="exact"/>
        <w:ind w:firstLine="420" w:firstLineChars="150"/>
        <w:rPr>
          <w:rFonts w:ascii="仿宋" w:hAnsi="仿宋" w:eastAsia="仿宋"/>
          <w:color w:val="000000"/>
          <w:kern w:val="0"/>
          <w:sz w:val="28"/>
          <w:szCs w:val="28"/>
          <w:lang w:bidi="hi-IN"/>
        </w:rPr>
      </w:pPr>
      <w:r>
        <w:rPr>
          <w:rFonts w:hint="eastAsia" w:ascii="仿宋" w:hAnsi="仿宋" w:eastAsia="仿宋"/>
          <w:color w:val="000000"/>
          <w:kern w:val="0"/>
          <w:sz w:val="28"/>
          <w:szCs w:val="28"/>
          <w:lang w:bidi="hi-IN"/>
        </w:rPr>
        <w:t>坚持中国特色社会主义政治发展道路；健全人民当家作主制度体系；巩国和发展爱国统一战线；坚持“一国两制”，推进祖国统一</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3.推动社会主义文化繁荣兴盛</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牢牢掌握意识形态工作领导权；培育和践行社会主义核心价值观；坚定文化自信，建设社会主义文化强国</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4.坚持在发展中保障和改善民生</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提高保障和改善民生水平；加强和创新社会治理；坚持总体国家安全观</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5.建设美丽中国</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坚持人与自然和谐共生；形成人与自然和谐发展新格局；加快生态文明体制改革</w:t>
      </w: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（十一） “四个全面”战略布局</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1.全面建成小康社会</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全面建成小康社会的内涵；全面建成小康社会的目标要求；决胜全面建成小康社会</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2.全面深化改革</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坚定不移地全面深化改革；全面深化改革的总目标和主要内容；正确处理全面深化改革中的重大关系</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3.全面依法治国</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全面依法治国方略的形成发展；中国特色社会主义法治道路；深化依法治国实践的重点任务</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4.全面从严治党</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新时代党的建设总要求；把党的政治建设摆在首位；全面从严治党永远在路上</w:t>
      </w:r>
      <w:r>
        <w:rPr>
          <w:rFonts w:hint="eastAsia" w:ascii="仿宋" w:hAnsi="仿宋" w:eastAsia="仿宋"/>
          <w:color w:val="000000"/>
          <w:kern w:val="0"/>
          <w:sz w:val="28"/>
          <w:szCs w:val="28"/>
          <w:lang w:bidi="hi-IN"/>
        </w:rPr>
        <w:tab/>
      </w: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（十二）全面推进国防和军队现代化</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1.坚持走中国特色强军之路</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习近平强军思想；坚持党对人民军队的绝对领导；建设世界一流军队</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2.推动军民融合深度发展</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坚持富国和强军相统一；加快形成军民融合深度发展格局</w:t>
      </w:r>
    </w:p>
    <w:p>
      <w:pPr>
        <w:spacing w:line="400" w:lineRule="exact"/>
        <w:ind w:firstLine="422" w:firstLineChars="150"/>
        <w:rPr>
          <w:rFonts w:hint="eastAsia" w:ascii="仿宋" w:hAnsi="仿宋" w:eastAsia="仿宋"/>
          <w:b/>
          <w:bCs/>
          <w:color w:val="000000"/>
          <w:kern w:val="0"/>
          <w:sz w:val="28"/>
          <w:szCs w:val="28"/>
          <w:lang w:bidi="hi-IN"/>
        </w:rPr>
      </w:pPr>
      <w:r>
        <w:rPr>
          <w:rFonts w:hint="eastAsia" w:ascii="仿宋" w:hAnsi="仿宋" w:eastAsia="仿宋"/>
          <w:b/>
          <w:bCs/>
          <w:color w:val="000000"/>
          <w:kern w:val="0"/>
          <w:sz w:val="28"/>
          <w:szCs w:val="28"/>
          <w:lang w:bidi="hi-IN"/>
        </w:rPr>
        <w:t>（十三）中国特色大国外交</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1.坚持和平发展道路</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世界正处于大发展大变革大调整时期；坚持独立自主和平外交政策；推动建立新型国际关系</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2.推动构建人类命运共同体</w:t>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构建人类命运共同体思想的内涵；促进“一带一路”国际合作；共商共建人类命运共同体</w:t>
      </w:r>
    </w:p>
    <w:p>
      <w:pPr>
        <w:spacing w:line="400" w:lineRule="exact"/>
        <w:ind w:firstLine="422" w:firstLineChars="150"/>
        <w:rPr>
          <w:rFonts w:hint="eastAsia" w:ascii="仿宋" w:hAnsi="仿宋" w:eastAsia="仿宋"/>
          <w:color w:val="000000"/>
          <w:kern w:val="0"/>
          <w:sz w:val="28"/>
          <w:szCs w:val="28"/>
          <w:lang w:bidi="hi-IN"/>
        </w:rPr>
      </w:pPr>
      <w:r>
        <w:rPr>
          <w:rFonts w:hint="eastAsia" w:ascii="仿宋" w:hAnsi="仿宋" w:eastAsia="仿宋"/>
          <w:b/>
          <w:bCs/>
          <w:color w:val="000000"/>
          <w:kern w:val="0"/>
          <w:sz w:val="28"/>
          <w:szCs w:val="28"/>
          <w:lang w:bidi="hi-IN"/>
        </w:rPr>
        <w:t>（十四）坚持和加强党的领导</w:t>
      </w:r>
      <w:r>
        <w:rPr>
          <w:rFonts w:hint="eastAsia" w:ascii="仿宋" w:hAnsi="仿宋" w:eastAsia="仿宋"/>
          <w:color w:val="000000"/>
          <w:kern w:val="0"/>
          <w:sz w:val="28"/>
          <w:szCs w:val="28"/>
          <w:lang w:bidi="hi-IN"/>
        </w:rPr>
        <w:t>　</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1.实现中华民族伟大复兴关键在党</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中国共产党的领导地位是历史和人民的选择；中国特色社会主义最本质的特征；新时代中国共产党的历史使命</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2.坚持党对一切工作的领导</w:t>
      </w:r>
      <w:r>
        <w:rPr>
          <w:rFonts w:hint="eastAsia" w:ascii="仿宋" w:hAnsi="仿宋" w:eastAsia="仿宋"/>
          <w:color w:val="000000"/>
          <w:kern w:val="0"/>
          <w:sz w:val="28"/>
          <w:szCs w:val="28"/>
          <w:lang w:bidi="hi-IN"/>
        </w:rPr>
        <w:tab/>
      </w:r>
    </w:p>
    <w:p>
      <w:pPr>
        <w:spacing w:line="400" w:lineRule="exact"/>
        <w:ind w:firstLine="420" w:firstLineChars="150"/>
        <w:rPr>
          <w:rFonts w:hint="eastAsia" w:ascii="仿宋" w:hAnsi="仿宋" w:eastAsia="仿宋"/>
          <w:color w:val="000000"/>
          <w:kern w:val="0"/>
          <w:sz w:val="28"/>
          <w:szCs w:val="28"/>
          <w:lang w:bidi="hi-IN"/>
        </w:rPr>
      </w:pPr>
      <w:r>
        <w:rPr>
          <w:rFonts w:hint="eastAsia" w:ascii="仿宋" w:hAnsi="仿宋" w:eastAsia="仿宋"/>
          <w:color w:val="000000"/>
          <w:kern w:val="0"/>
          <w:sz w:val="28"/>
          <w:szCs w:val="28"/>
          <w:lang w:bidi="hi-IN"/>
        </w:rPr>
        <w:t>党是最高政治领导力量；确保党始终总揽全局协调各方；全面增强党的执政本领。</w:t>
      </w:r>
      <w:r>
        <w:rPr>
          <w:rFonts w:hint="eastAsia" w:ascii="仿宋" w:hAnsi="仿宋" w:eastAsia="仿宋"/>
          <w:color w:val="000000"/>
          <w:kern w:val="0"/>
          <w:sz w:val="28"/>
          <w:szCs w:val="28"/>
          <w:lang w:bidi="hi-IN"/>
        </w:rPr>
        <w:tab/>
      </w:r>
    </w:p>
    <w:p>
      <w:pPr>
        <w:spacing w:line="400" w:lineRule="exact"/>
        <w:ind w:firstLine="560" w:firstLineChars="200"/>
        <w:rPr>
          <w:rFonts w:hint="eastAsia" w:ascii="仿宋" w:hAnsi="仿宋" w:eastAsia="仿宋"/>
          <w:color w:val="000000"/>
          <w:kern w:val="0"/>
          <w:sz w:val="28"/>
          <w:szCs w:val="28"/>
        </w:rPr>
      </w:pPr>
    </w:p>
    <w:p>
      <w:pPr>
        <w:spacing w:line="400" w:lineRule="exact"/>
        <w:ind w:firstLine="560" w:firstLineChars="200"/>
        <w:rPr>
          <w:rFonts w:hint="eastAsia" w:ascii="仿宋" w:hAnsi="仿宋" w:eastAsia="仿宋"/>
          <w:color w:val="000000"/>
          <w:kern w:val="0"/>
          <w:sz w:val="28"/>
          <w:szCs w:val="28"/>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lang/>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73B"/>
    <w:rsid w:val="00177804"/>
    <w:rsid w:val="002D7E1D"/>
    <w:rsid w:val="003B5391"/>
    <w:rsid w:val="004E73A0"/>
    <w:rsid w:val="006B3517"/>
    <w:rsid w:val="00794020"/>
    <w:rsid w:val="007A6F66"/>
    <w:rsid w:val="00924314"/>
    <w:rsid w:val="009A1E6F"/>
    <w:rsid w:val="00A35AFE"/>
    <w:rsid w:val="00A52085"/>
    <w:rsid w:val="00AD2B2C"/>
    <w:rsid w:val="00AE4AE5"/>
    <w:rsid w:val="00B3678F"/>
    <w:rsid w:val="00C00717"/>
    <w:rsid w:val="00C246EF"/>
    <w:rsid w:val="00D10A3F"/>
    <w:rsid w:val="00DD173C"/>
    <w:rsid w:val="00F8550B"/>
    <w:rsid w:val="00FD2A6A"/>
    <w:rsid w:val="01C24155"/>
    <w:rsid w:val="15A139C7"/>
    <w:rsid w:val="1B7B59FD"/>
    <w:rsid w:val="1E2656F8"/>
    <w:rsid w:val="2D8029D1"/>
    <w:rsid w:val="2E692CFE"/>
    <w:rsid w:val="3EAA5753"/>
    <w:rsid w:val="4DDC0A8D"/>
    <w:rsid w:val="4E211AD5"/>
    <w:rsid w:val="50C01EF2"/>
    <w:rsid w:val="5D4C315A"/>
    <w:rsid w:val="6248376A"/>
    <w:rsid w:val="6D0375F7"/>
    <w:rsid w:val="766D021E"/>
    <w:rsid w:val="76D71291"/>
    <w:rsid w:val="7DD503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ascii="Calibri" w:hAnsi="Calibri"/>
      <w:b/>
      <w:bCs/>
      <w:kern w:val="44"/>
      <w:sz w:val="44"/>
      <w:szCs w:val="44"/>
    </w:rPr>
  </w:style>
  <w:style w:type="paragraph" w:styleId="3">
    <w:name w:val="heading 2"/>
    <w:basedOn w:val="1"/>
    <w:next w:val="1"/>
    <w:link w:val="14"/>
    <w:qFormat/>
    <w:uiPriority w:val="0"/>
    <w:pPr>
      <w:keepNext/>
      <w:keepLines/>
      <w:spacing w:before="260" w:beforeLines="0" w:after="260" w:afterLines="0" w:line="416" w:lineRule="auto"/>
      <w:outlineLvl w:val="1"/>
    </w:pPr>
    <w:rPr>
      <w:rFonts w:ascii="Cambria" w:hAnsi="Cambria" w:eastAsia="宋体"/>
      <w:b/>
      <w:bCs/>
      <w:kern w:val="2"/>
      <w:sz w:val="32"/>
      <w:szCs w:val="32"/>
      <w:lang w:val="en-US" w:eastAsia="zh-CN" w:bidi="ar-SA"/>
    </w:rPr>
  </w:style>
  <w:style w:type="paragraph" w:styleId="4">
    <w:name w:val="heading 3"/>
    <w:basedOn w:val="1"/>
    <w:next w:val="1"/>
    <w:link w:val="15"/>
    <w:qFormat/>
    <w:uiPriority w:val="0"/>
    <w:pPr>
      <w:keepNext/>
      <w:keepLines/>
      <w:spacing w:before="260" w:beforeLines="0" w:after="260" w:afterLines="0" w:line="416" w:lineRule="auto"/>
      <w:outlineLvl w:val="2"/>
    </w:pPr>
    <w:rPr>
      <w:rFonts w:ascii="Calibri" w:hAnsi="Calibri" w:eastAsia="宋体"/>
      <w:b/>
      <w:bCs/>
      <w:kern w:val="2"/>
      <w:sz w:val="32"/>
      <w:szCs w:val="32"/>
      <w:lang w:val="en-US" w:eastAsia="zh-CN" w:bidi="ar-SA"/>
    </w:rPr>
  </w:style>
  <w:style w:type="character" w:default="1" w:styleId="11">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itle"/>
    <w:basedOn w:val="1"/>
    <w:next w:val="1"/>
    <w:link w:val="16"/>
    <w:qFormat/>
    <w:uiPriority w:val="0"/>
    <w:pPr>
      <w:spacing w:before="240" w:beforeLines="0" w:after="60" w:afterLines="0"/>
      <w:jc w:val="center"/>
      <w:outlineLvl w:val="0"/>
    </w:pPr>
    <w:rPr>
      <w:rFonts w:ascii="Cambria" w:hAnsi="Cambria" w:eastAsia="宋体"/>
      <w:b/>
      <w:bCs/>
      <w:kern w:val="2"/>
      <w:sz w:val="32"/>
      <w:szCs w:val="32"/>
      <w:lang w:val="en-US" w:eastAsia="zh-CN" w:bidi="ar-SA"/>
    </w:rPr>
  </w:style>
  <w:style w:type="character" w:styleId="12">
    <w:name w:val="page number"/>
    <w:basedOn w:val="11"/>
    <w:uiPriority w:val="0"/>
  </w:style>
  <w:style w:type="paragraph" w:customStyle="1" w:styleId="13">
    <w:name w:val="Default"/>
    <w:qFormat/>
    <w:uiPriority w:val="99"/>
    <w:pPr>
      <w:widowControl w:val="0"/>
      <w:autoSpaceDE w:val="0"/>
      <w:autoSpaceDN w:val="0"/>
      <w:adjustRightInd w:val="0"/>
    </w:pPr>
    <w:rPr>
      <w:rFonts w:ascii="黑体" w:eastAsia="黑体" w:cs="黑体"/>
      <w:color w:val="000000"/>
      <w:sz w:val="24"/>
      <w:szCs w:val="24"/>
      <w:lang w:val="en-US" w:eastAsia="zh-CN" w:bidi="ar-SA"/>
    </w:rPr>
  </w:style>
  <w:style w:type="character" w:customStyle="1" w:styleId="14">
    <w:name w:val="标题 2 Char"/>
    <w:basedOn w:val="11"/>
    <w:link w:val="3"/>
    <w:uiPriority w:val="0"/>
    <w:rPr>
      <w:rFonts w:ascii="Cambria" w:hAnsi="Cambria" w:eastAsia="宋体"/>
      <w:b/>
      <w:bCs/>
      <w:kern w:val="2"/>
      <w:sz w:val="32"/>
      <w:szCs w:val="32"/>
      <w:lang w:val="en-US" w:eastAsia="zh-CN" w:bidi="ar-SA"/>
    </w:rPr>
  </w:style>
  <w:style w:type="character" w:customStyle="1" w:styleId="15">
    <w:name w:val="标题 3 Char"/>
    <w:basedOn w:val="11"/>
    <w:link w:val="4"/>
    <w:uiPriority w:val="0"/>
    <w:rPr>
      <w:rFonts w:ascii="Calibri" w:hAnsi="Calibri" w:eastAsia="宋体"/>
      <w:b/>
      <w:bCs/>
      <w:kern w:val="2"/>
      <w:sz w:val="32"/>
      <w:szCs w:val="32"/>
      <w:lang w:val="en-US" w:eastAsia="zh-CN" w:bidi="ar-SA"/>
    </w:rPr>
  </w:style>
  <w:style w:type="character" w:customStyle="1" w:styleId="16">
    <w:name w:val="标题 Char"/>
    <w:basedOn w:val="11"/>
    <w:link w:val="9"/>
    <w:uiPriority w:val="0"/>
    <w:rPr>
      <w:rFonts w:ascii="Cambria" w:hAnsi="Cambria" w:eastAsia="宋体"/>
      <w:b/>
      <w:bCs/>
      <w:kern w:val="2"/>
      <w:sz w:val="32"/>
      <w:szCs w:val="32"/>
      <w:lang w:val="en-US" w:eastAsia="zh-CN" w:bidi="ar-SA"/>
    </w:rPr>
  </w:style>
  <w:style w:type="character" w:customStyle="1" w:styleId="17">
    <w:name w:val=" Char Char3"/>
    <w:basedOn w:val="11"/>
    <w:uiPriority w:val="0"/>
    <w:rPr>
      <w:rFonts w:ascii="Calibri" w:hAnsi="Calibr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424</Words>
  <Characters>2422</Characters>
  <Lines>20</Lines>
  <Paragraphs>5</Paragraphs>
  <TotalTime>0</TotalTime>
  <ScaleCrop>false</ScaleCrop>
  <LinksUpToDate>false</LinksUpToDate>
  <CharactersWithSpaces>2841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香香菜</dc:creator>
  <cp:lastModifiedBy>vertesyuan</cp:lastModifiedBy>
  <cp:lastPrinted>2013-09-30T02:53:00Z</cp:lastPrinted>
  <dcterms:modified xsi:type="dcterms:W3CDTF">2021-11-26T10:55:38Z</dcterms:modified>
  <dc:title>2014年硕士研究生入学考试自命题考试大纲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9C8A7C834BCF4E3D90F9991162846BEB</vt:lpwstr>
  </property>
</Properties>
</file>