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sz w:val="40"/>
          <w:szCs w:val="40"/>
        </w:rPr>
      </w:pPr>
      <w:bookmarkStart w:id="0" w:name="_GoBack"/>
      <w:bookmarkEnd w:id="0"/>
      <w:r>
        <w:rPr>
          <w:rFonts w:ascii="黑体" w:hAnsi="黑体" w:eastAsia="黑体"/>
          <w:b/>
          <w:sz w:val="40"/>
          <w:szCs w:val="40"/>
          <w:lang w:bidi="hi-IN"/>
        </w:rPr>
        <w:t>20</w:t>
      </w:r>
      <w:r>
        <w:rPr>
          <w:rFonts w:hint="eastAsia" w:ascii="黑体" w:hAnsi="黑体" w:eastAsia="黑体"/>
          <w:b/>
          <w:sz w:val="40"/>
          <w:szCs w:val="40"/>
          <w:lang w:bidi="hi-IN"/>
        </w:rPr>
        <w:t>2</w:t>
      </w:r>
      <w:r>
        <w:rPr>
          <w:rFonts w:hint="default" w:ascii="黑体" w:hAnsi="黑体" w:eastAsia="黑体"/>
          <w:b/>
          <w:sz w:val="40"/>
          <w:szCs w:val="40"/>
          <w:lang w:bidi="hi-IN"/>
        </w:rPr>
        <w:t>2</w:t>
      </w:r>
      <w:r>
        <w:rPr>
          <w:rFonts w:hint="eastAsia" w:ascii="黑体" w:hAnsi="黑体" w:eastAsia="黑体"/>
          <w:b/>
          <w:sz w:val="40"/>
          <w:szCs w:val="40"/>
        </w:rPr>
        <w:t>年硕士研究生入学考试自命题考试大纲</w:t>
      </w:r>
    </w:p>
    <w:p>
      <w:pPr>
        <w:spacing w:line="50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考试科目代码：</w:t>
      </w:r>
      <w:r>
        <w:rPr>
          <w:rFonts w:ascii="仿宋" w:hAnsi="仿宋" w:eastAsia="仿宋"/>
          <w:sz w:val="28"/>
          <w:szCs w:val="28"/>
        </w:rPr>
        <w:t>[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]               </w:t>
      </w:r>
      <w:r>
        <w:rPr>
          <w:rFonts w:hint="eastAsia" w:ascii="仿宋" w:hAnsi="仿宋" w:eastAsia="仿宋"/>
          <w:sz w:val="28"/>
          <w:szCs w:val="28"/>
        </w:rPr>
        <w:t>考试科目名称：税收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学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6"/>
        <w:spacing w:before="156" w:beforeLines="50" w:beforeAutospacing="0" w:after="156" w:afterLines="50" w:afterAutospacing="0" w:line="250" w:lineRule="atLeas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一、考试的学科范围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考试的学科范围包括：税收学原理、中国税制。具体要点见考试要点。</w:t>
      </w:r>
    </w:p>
    <w:p>
      <w:pPr>
        <w:pStyle w:val="6"/>
        <w:spacing w:before="156" w:beforeLines="50" w:beforeAutospacing="0" w:after="156" w:afterLines="50" w:afterAutospacing="0" w:line="250" w:lineRule="atLeas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二、考试形式和试卷结构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1、试卷满分及考试时间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本试卷满分为150分，考试时间为120分钟。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2、答题方式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答题方式为闭卷、笔试。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3、试卷结构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税收学原理考核的比例为40%，分值为60分;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中国税制实务考核的比例为60%，分值为90分;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4、考试题型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名词解释6题，每题5分，共30分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简答题5题，每小题10分，共50分;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综合分析题(案例分析题)2题，每小题15分，共30分;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论述题2题，每题20分，共40分。</w:t>
      </w:r>
    </w:p>
    <w:p>
      <w:pPr>
        <w:pStyle w:val="6"/>
        <w:spacing w:before="156" w:beforeLines="50" w:beforeAutospacing="0" w:after="156" w:afterLines="50" w:afterAutospacing="0" w:line="250" w:lineRule="atLeast"/>
        <w:rPr>
          <w:rFonts w:hint="eastAsia" w:ascii="仿宋" w:hAnsi="仿宋" w:eastAsia="仿宋" w:cs="新宋体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sz w:val="32"/>
          <w:szCs w:val="32"/>
        </w:rPr>
        <w:t>三、考试内容与考试要求</w:t>
      </w:r>
    </w:p>
    <w:p>
      <w:pPr>
        <w:spacing w:before="156" w:beforeLines="50" w:after="156" w:afterLines="50" w:line="500" w:lineRule="exact"/>
        <w:ind w:firstLine="480"/>
        <w:rPr>
          <w:rFonts w:hint="eastAsia" w:ascii="仿宋" w:hAnsi="仿宋" w:eastAsia="仿宋"/>
          <w:b/>
          <w:sz w:val="32"/>
          <w:szCs w:val="32"/>
          <w:lang w:bidi="hi-IN"/>
        </w:rPr>
      </w:pPr>
      <w:r>
        <w:rPr>
          <w:rFonts w:hint="eastAsia" w:ascii="仿宋" w:hAnsi="仿宋" w:eastAsia="仿宋"/>
          <w:b/>
          <w:sz w:val="32"/>
          <w:szCs w:val="32"/>
          <w:lang w:bidi="hi-IN"/>
        </w:rPr>
        <w:t>●考试目标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1、认识课程的性质、研究对象及任务，掌握课程的基本内容、体系和结构。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2、掌握税收学的基本概念、基本理论及基本研究方法，对税收起源、内涵、作用、原则、效应等基本范畴、内在关系及其运动规律有较系统的掌握。熟悉我国税收制度的基本内容，能够准确计算增值税、消费税、关税、企业所得税、个人所得税等主要税种的应纳税额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3.了解国内外税收领域的热点问题及我国税制改革的内容和发展趋势，掌握观察和分析税收问题的正确方法。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4、具有辨析基本税收理论和解决税收实际问题的能力。</w:t>
      </w:r>
    </w:p>
    <w:p>
      <w:pPr>
        <w:spacing w:before="156" w:beforeLines="50" w:after="156" w:afterLines="50" w:line="500" w:lineRule="exact"/>
        <w:ind w:firstLine="480"/>
        <w:rPr>
          <w:rFonts w:hint="eastAsia" w:ascii="仿宋" w:hAnsi="仿宋" w:eastAsia="仿宋" w:cs="新宋体"/>
          <w:color w:val="333333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  <w:lang w:bidi="hi-IN"/>
        </w:rPr>
        <w:t>●考试内容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(一)税收学原理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1、税收的起源与发展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国家、财政与税收的产生;我国税收的起源与发展;西方税收的起源与发展。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2、税收的涵义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税收的产生与发展;国家的公共权力与税收;税收的本质;税收的特征。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3、税收原则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税收的公平原则;税收的效率原则;税收的财政原则。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4、税收负担及其转嫁与归宿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宏观税负与微观税负;影响税收负担的因素;税负转嫁与归宿的概念、方式;税收增长与经济增长的相关性。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5、税收的经济效应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税收效应的概念和分类;税收的微观效应;税收的宏观效应。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6、税制结构分析与比较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税制要素;税收分类;税制结构的概念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(二)中国税制实务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1、我国税制要素及税收分类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纳税义务人;征税对象;税率;纳税环节和纳税期限;税收优惠;税收分类方法及其类别。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2、流转税基本理论及制度规定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增值税制度规定及应纳税额的计算;消费税制度规定及应纳税额的计算;关税制度规定及应纳税额的计算;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3、所得税基本理论及制度规定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企业所得税制度规定及应纳税额的计算，个人所得税制度规定及应纳税额的计算。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4.财产行为税制度基本理论及其制度规定。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包括，财产行为税的性质、分类及其特点;房产税，城镇土地使用税，耕地占用税，城市维护建设税;教育费附加;印花税;资源税;土地增值税;车船税;契税等的税收制度的基本要素。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  <w:r>
        <w:rPr>
          <w:rFonts w:hint="eastAsia" w:ascii="仿宋" w:hAnsi="仿宋" w:eastAsia="仿宋"/>
          <w:sz w:val="28"/>
          <w:szCs w:val="28"/>
          <w:lang w:bidi="hi-IN"/>
        </w:rPr>
        <w:t>5.我国税制改革内容与趋势</w:t>
      </w: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</w:p>
    <w:p>
      <w:pPr>
        <w:spacing w:before="156" w:beforeLines="50" w:after="156" w:afterLines="50"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bidi="hi-IN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hint="eastAsia" w:ascii="仿宋" w:hAnsi="仿宋" w:eastAsia="仿宋"/>
          <w:sz w:val="32"/>
          <w:szCs w:val="32"/>
          <w:lang w:bidi="hi-I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25F84"/>
    <w:multiLevelType w:val="multilevel"/>
    <w:tmpl w:val="66325F84"/>
    <w:lvl w:ilvl="0" w:tentative="0">
      <w:start w:val="1"/>
      <w:numFmt w:val="japaneseCounting"/>
      <w:pStyle w:val="5"/>
      <w:lvlText w:val="（%1）"/>
      <w:lvlJc w:val="left"/>
      <w:pPr>
        <w:tabs>
          <w:tab w:val="left" w:pos="1260"/>
        </w:tabs>
        <w:ind w:left="1260" w:hanging="7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50"/>
        </w:tabs>
        <w:ind w:left="13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70"/>
        </w:tabs>
        <w:ind w:left="177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90"/>
        </w:tabs>
        <w:ind w:left="21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10"/>
        </w:tabs>
        <w:ind w:left="26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30"/>
        </w:tabs>
        <w:ind w:left="30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50"/>
        </w:tabs>
        <w:ind w:left="34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70"/>
        </w:tabs>
        <w:ind w:left="38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8C"/>
    <w:rsid w:val="0000277B"/>
    <w:rsid w:val="00004F1F"/>
    <w:rsid w:val="00007671"/>
    <w:rsid w:val="0002034E"/>
    <w:rsid w:val="00027D33"/>
    <w:rsid w:val="00043374"/>
    <w:rsid w:val="00045995"/>
    <w:rsid w:val="00057F00"/>
    <w:rsid w:val="00061B43"/>
    <w:rsid w:val="000B531B"/>
    <w:rsid w:val="000C2C7D"/>
    <w:rsid w:val="000D730C"/>
    <w:rsid w:val="000E3D09"/>
    <w:rsid w:val="000E7EA6"/>
    <w:rsid w:val="00103DCD"/>
    <w:rsid w:val="00111F10"/>
    <w:rsid w:val="00117052"/>
    <w:rsid w:val="001A6321"/>
    <w:rsid w:val="001B78A6"/>
    <w:rsid w:val="001B7D28"/>
    <w:rsid w:val="001C06BB"/>
    <w:rsid w:val="001D6880"/>
    <w:rsid w:val="001D7823"/>
    <w:rsid w:val="001E2954"/>
    <w:rsid w:val="001F0C81"/>
    <w:rsid w:val="0020408A"/>
    <w:rsid w:val="00230B02"/>
    <w:rsid w:val="00241813"/>
    <w:rsid w:val="00242E47"/>
    <w:rsid w:val="002A5E29"/>
    <w:rsid w:val="002B7D96"/>
    <w:rsid w:val="002D3A6A"/>
    <w:rsid w:val="00304079"/>
    <w:rsid w:val="00311FEA"/>
    <w:rsid w:val="00312A95"/>
    <w:rsid w:val="00336469"/>
    <w:rsid w:val="0036574B"/>
    <w:rsid w:val="0036682C"/>
    <w:rsid w:val="003742C1"/>
    <w:rsid w:val="00376752"/>
    <w:rsid w:val="00395172"/>
    <w:rsid w:val="00395453"/>
    <w:rsid w:val="00396FCD"/>
    <w:rsid w:val="003A1A62"/>
    <w:rsid w:val="003C5973"/>
    <w:rsid w:val="003F1D36"/>
    <w:rsid w:val="003F6471"/>
    <w:rsid w:val="0041538C"/>
    <w:rsid w:val="004202F8"/>
    <w:rsid w:val="00423489"/>
    <w:rsid w:val="004555A2"/>
    <w:rsid w:val="00492AEE"/>
    <w:rsid w:val="004A33DB"/>
    <w:rsid w:val="00500CBB"/>
    <w:rsid w:val="0055574D"/>
    <w:rsid w:val="0055635D"/>
    <w:rsid w:val="00557655"/>
    <w:rsid w:val="005B1224"/>
    <w:rsid w:val="005C15CD"/>
    <w:rsid w:val="005D7DED"/>
    <w:rsid w:val="00601C2A"/>
    <w:rsid w:val="00627315"/>
    <w:rsid w:val="00633DE2"/>
    <w:rsid w:val="00657C84"/>
    <w:rsid w:val="00660CEB"/>
    <w:rsid w:val="00667E44"/>
    <w:rsid w:val="00680A2E"/>
    <w:rsid w:val="006B57EE"/>
    <w:rsid w:val="007049F2"/>
    <w:rsid w:val="00761ECD"/>
    <w:rsid w:val="00765ECD"/>
    <w:rsid w:val="00786E08"/>
    <w:rsid w:val="007968CD"/>
    <w:rsid w:val="007C512D"/>
    <w:rsid w:val="007E1DC1"/>
    <w:rsid w:val="008004A2"/>
    <w:rsid w:val="0081411F"/>
    <w:rsid w:val="00816636"/>
    <w:rsid w:val="00847932"/>
    <w:rsid w:val="00850F18"/>
    <w:rsid w:val="008624A2"/>
    <w:rsid w:val="008634BD"/>
    <w:rsid w:val="008670BE"/>
    <w:rsid w:val="00892FC5"/>
    <w:rsid w:val="008A0AEB"/>
    <w:rsid w:val="008A6B52"/>
    <w:rsid w:val="008C6BDA"/>
    <w:rsid w:val="008F09DE"/>
    <w:rsid w:val="00926D7E"/>
    <w:rsid w:val="00940E47"/>
    <w:rsid w:val="00971CD3"/>
    <w:rsid w:val="0097476A"/>
    <w:rsid w:val="009844B9"/>
    <w:rsid w:val="00997337"/>
    <w:rsid w:val="009B2D64"/>
    <w:rsid w:val="009E1EE0"/>
    <w:rsid w:val="00A37FB7"/>
    <w:rsid w:val="00A42838"/>
    <w:rsid w:val="00AA1F7F"/>
    <w:rsid w:val="00B43B02"/>
    <w:rsid w:val="00B913CB"/>
    <w:rsid w:val="00BA6627"/>
    <w:rsid w:val="00BD32E4"/>
    <w:rsid w:val="00BE2C0C"/>
    <w:rsid w:val="00BE65EE"/>
    <w:rsid w:val="00C12D73"/>
    <w:rsid w:val="00C300D0"/>
    <w:rsid w:val="00C35939"/>
    <w:rsid w:val="00C563C6"/>
    <w:rsid w:val="00C6386C"/>
    <w:rsid w:val="00C70A63"/>
    <w:rsid w:val="00C75572"/>
    <w:rsid w:val="00C8008C"/>
    <w:rsid w:val="00C95410"/>
    <w:rsid w:val="00CE1C3D"/>
    <w:rsid w:val="00D33CC4"/>
    <w:rsid w:val="00D619A6"/>
    <w:rsid w:val="00D8727E"/>
    <w:rsid w:val="00D94252"/>
    <w:rsid w:val="00D95F7A"/>
    <w:rsid w:val="00DA02C9"/>
    <w:rsid w:val="00DA2B86"/>
    <w:rsid w:val="00DC2314"/>
    <w:rsid w:val="00E131B5"/>
    <w:rsid w:val="00E56998"/>
    <w:rsid w:val="00E956A6"/>
    <w:rsid w:val="00EE2CCD"/>
    <w:rsid w:val="00EF327E"/>
    <w:rsid w:val="00EF437D"/>
    <w:rsid w:val="00EF7EF3"/>
    <w:rsid w:val="00F12667"/>
    <w:rsid w:val="00F15202"/>
    <w:rsid w:val="00F220AE"/>
    <w:rsid w:val="00F226CB"/>
    <w:rsid w:val="00F27505"/>
    <w:rsid w:val="00F766D9"/>
    <w:rsid w:val="00FE082D"/>
    <w:rsid w:val="00FE5D5D"/>
    <w:rsid w:val="00FE6295"/>
    <w:rsid w:val="00FF333B"/>
    <w:rsid w:val="1FA06539"/>
    <w:rsid w:val="214C7FE8"/>
    <w:rsid w:val="3DFF7310"/>
    <w:rsid w:val="43282EAE"/>
    <w:rsid w:val="4E2C416D"/>
    <w:rsid w:val="53E131E1"/>
    <w:rsid w:val="540742DB"/>
    <w:rsid w:val="74171602"/>
    <w:rsid w:val="7EEA6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after="0" w:line="240" w:lineRule="auto"/>
      <w:ind w:left="60" w:firstLine="780"/>
      <w:jc w:val="both"/>
    </w:pPr>
    <w:rPr>
      <w:rFonts w:ascii="Times New Roman" w:hAnsi="Times New Roman"/>
      <w:kern w:val="2"/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widowControl w:val="0"/>
      <w:numPr>
        <w:ilvl w:val="0"/>
        <w:numId w:val="1"/>
      </w:numPr>
      <w:spacing w:after="0" w:line="240" w:lineRule="auto"/>
      <w:jc w:val="both"/>
    </w:pPr>
    <w:rPr>
      <w:rFonts w:ascii="宋体" w:hAnsi="宋体"/>
      <w:kern w:val="2"/>
      <w:sz w:val="21"/>
      <w:szCs w:val="24"/>
    </w:rPr>
  </w:style>
  <w:style w:type="paragraph" w:styleId="6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2002-01-01T06:12:00Z</dcterms:created>
  <dc:creator>微软用户</dc:creator>
  <cp:lastModifiedBy>vertesyuan</cp:lastModifiedBy>
  <cp:lastPrinted>2018-07-02T17:37:00Z</cp:lastPrinted>
  <dcterms:modified xsi:type="dcterms:W3CDTF">2021-11-26T10:55:48Z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2052-11.3.0.9228</vt:lpwstr>
  </property>
</Properties>
</file>