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40"/>
          <w:szCs w:val="40"/>
        </w:rPr>
      </w:pPr>
      <w:bookmarkStart w:id="0" w:name="_GoBack"/>
      <w:bookmarkEnd w:id="0"/>
      <w:r>
        <w:rPr>
          <w:rFonts w:ascii="黑体" w:hAnsi="黑体" w:eastAsia="黑体"/>
          <w:b/>
          <w:sz w:val="40"/>
          <w:szCs w:val="40"/>
          <w:lang w:bidi="hi-IN"/>
        </w:rPr>
        <w:t>20</w:t>
      </w:r>
      <w:r>
        <w:rPr>
          <w:rFonts w:hint="eastAsia" w:ascii="黑体" w:hAnsi="黑体" w:eastAsia="黑体"/>
          <w:b/>
          <w:sz w:val="40"/>
          <w:szCs w:val="40"/>
          <w:lang w:bidi="hi-IN"/>
        </w:rPr>
        <w:t>2</w:t>
      </w:r>
      <w:r>
        <w:rPr>
          <w:rFonts w:hint="default" w:ascii="黑体" w:hAnsi="黑体" w:eastAsia="黑体"/>
          <w:b/>
          <w:sz w:val="40"/>
          <w:szCs w:val="40"/>
          <w:lang w:bidi="hi-IN"/>
        </w:rPr>
        <w:t>2</w:t>
      </w:r>
      <w:r>
        <w:rPr>
          <w:rFonts w:hint="eastAsia" w:ascii="黑体" w:hAnsi="黑体" w:eastAsia="黑体"/>
          <w:b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24"/>
          <w:lang w:bidi="hi-IN"/>
        </w:rPr>
      </w:pPr>
      <w:r>
        <w:rPr>
          <w:rFonts w:hint="eastAsia" w:ascii="仿宋" w:hAnsi="仿宋" w:eastAsia="仿宋"/>
          <w:b/>
          <w:sz w:val="24"/>
        </w:rPr>
        <w:t>考试科目代码：</w:t>
      </w:r>
      <w:r>
        <w:rPr>
          <w:rFonts w:ascii="仿宋" w:hAnsi="仿宋" w:eastAsia="仿宋"/>
          <w:b/>
          <w:sz w:val="24"/>
        </w:rPr>
        <w:t>[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  <w:lang w:val="en-US" w:eastAsia="zh-CN"/>
        </w:rPr>
        <w:t>F003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ascii="仿宋" w:hAnsi="仿宋" w:eastAsia="仿宋"/>
          <w:b/>
          <w:sz w:val="24"/>
        </w:rPr>
        <w:t xml:space="preserve">]               </w:t>
      </w:r>
      <w:r>
        <w:rPr>
          <w:rFonts w:hint="eastAsia" w:ascii="仿宋" w:hAnsi="仿宋" w:eastAsia="仿宋"/>
          <w:b/>
          <w:sz w:val="24"/>
        </w:rPr>
        <w:t>考试科目名称：</w:t>
      </w:r>
      <w:r>
        <w:rPr>
          <w:rFonts w:hint="eastAsia" w:ascii="仿宋" w:hAnsi="仿宋" w:eastAsia="仿宋"/>
          <w:b/>
          <w:sz w:val="24"/>
          <w:lang w:val="en-US" w:eastAsia="zh-Hans"/>
        </w:rPr>
        <w:t>财政学</w:t>
      </w:r>
    </w:p>
    <w:p>
      <w:pPr>
        <w:spacing w:line="500" w:lineRule="exact"/>
        <w:ind w:firstLine="1084" w:firstLineChars="450"/>
        <w:rPr>
          <w:rFonts w:hint="eastAsia" w:ascii="仿宋" w:hAnsi="仿宋" w:eastAsia="仿宋"/>
          <w:b/>
          <w:sz w:val="24"/>
          <w:lang w:bidi="hi-IN"/>
        </w:rPr>
      </w:pPr>
    </w:p>
    <w:p>
      <w:pPr>
        <w:spacing w:before="156" w:beforeLines="50" w:after="156" w:afterLines="50" w:line="5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本试卷满分为150分，考试时间为120分钟。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2、答题方式：</w:t>
      </w:r>
      <w:r>
        <w:rPr>
          <w:rFonts w:hint="eastAsia" w:ascii="仿宋" w:hAnsi="仿宋" w:eastAsia="仿宋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3、试卷内容结构</w:t>
      </w:r>
    </w:p>
    <w:p>
      <w:pPr>
        <w:spacing w:before="156" w:beforeLines="50" w:after="156" w:afterLines="50" w:line="500" w:lineRule="exact"/>
        <w:ind w:left="642" w:leftChars="292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</w:rPr>
        <w:t>财政学概述（30分），微观财政学（60分）</w:t>
      </w:r>
      <w:r>
        <w:rPr>
          <w:rFonts w:ascii="仿宋" w:hAnsi="仿宋" w:eastAsia="仿宋"/>
          <w:sz w:val="32"/>
          <w:szCs w:val="32"/>
        </w:rPr>
        <w:t>，宏观财政</w:t>
      </w:r>
      <w:r>
        <w:rPr>
          <w:rFonts w:hint="eastAsia" w:ascii="仿宋" w:hAnsi="仿宋" w:eastAsia="仿宋"/>
          <w:sz w:val="32"/>
          <w:szCs w:val="32"/>
        </w:rPr>
        <w:t>学（60分）。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4、题型结构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名词解释题：8小题，每小题5分，共40分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简  答  题：7小题，每小题10分，共70分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论  述  题：2小题，每小题 20分，共40分</w:t>
      </w:r>
    </w:p>
    <w:p>
      <w:pPr>
        <w:spacing w:before="156" w:beforeLines="50" w:after="156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●考试目标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1</w:t>
      </w:r>
      <w:r>
        <w:rPr>
          <w:rFonts w:hint="eastAsia" w:ascii="仿宋" w:hAnsi="仿宋" w:eastAsia="仿宋"/>
          <w:sz w:val="32"/>
          <w:szCs w:val="32"/>
          <w:lang w:bidi="hi-IN"/>
        </w:rPr>
        <w:t>、认识课程的性质、研究对象及任务，掌握课程的基本内容、体系和结构。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2、掌握财政学的</w:t>
      </w:r>
      <w:r>
        <w:rPr>
          <w:rFonts w:ascii="仿宋" w:hAnsi="仿宋" w:eastAsia="仿宋"/>
          <w:sz w:val="32"/>
          <w:szCs w:val="32"/>
          <w:lang w:bidi="hi-IN"/>
        </w:rPr>
        <w:t>基本概念、基本理论</w:t>
      </w:r>
      <w:r>
        <w:rPr>
          <w:rFonts w:hint="eastAsia" w:ascii="仿宋" w:hAnsi="仿宋" w:eastAsia="仿宋"/>
          <w:sz w:val="32"/>
          <w:szCs w:val="32"/>
          <w:lang w:bidi="hi-IN"/>
        </w:rPr>
        <w:t>及基本研究方法，</w:t>
      </w:r>
      <w:r>
        <w:rPr>
          <w:rFonts w:ascii="仿宋" w:hAnsi="仿宋" w:eastAsia="仿宋"/>
          <w:sz w:val="32"/>
          <w:szCs w:val="32"/>
          <w:lang w:bidi="hi-IN"/>
        </w:rPr>
        <w:t>对</w:t>
      </w:r>
      <w:r>
        <w:rPr>
          <w:rFonts w:hint="eastAsia" w:ascii="仿宋" w:hAnsi="仿宋" w:eastAsia="仿宋"/>
          <w:sz w:val="32"/>
          <w:szCs w:val="32"/>
          <w:lang w:bidi="hi-IN"/>
        </w:rPr>
        <w:t>财政职能</w:t>
      </w:r>
      <w:r>
        <w:rPr>
          <w:rFonts w:ascii="仿宋" w:hAnsi="仿宋" w:eastAsia="仿宋"/>
          <w:sz w:val="32"/>
          <w:szCs w:val="32"/>
          <w:lang w:bidi="hi-IN"/>
        </w:rPr>
        <w:t>、公共物品、国家预算管理、</w:t>
      </w:r>
      <w:r>
        <w:rPr>
          <w:rFonts w:hint="eastAsia" w:ascii="仿宋" w:hAnsi="仿宋" w:eastAsia="仿宋"/>
          <w:sz w:val="32"/>
          <w:szCs w:val="32"/>
          <w:lang w:bidi="hi-IN"/>
        </w:rPr>
        <w:t>财政</w:t>
      </w:r>
      <w:r>
        <w:rPr>
          <w:rFonts w:ascii="仿宋" w:hAnsi="仿宋" w:eastAsia="仿宋"/>
          <w:sz w:val="32"/>
          <w:szCs w:val="32"/>
          <w:lang w:bidi="hi-IN"/>
        </w:rPr>
        <w:t>支出</w:t>
      </w:r>
      <w:r>
        <w:rPr>
          <w:rFonts w:hint="eastAsia" w:ascii="仿宋" w:hAnsi="仿宋" w:eastAsia="仿宋"/>
          <w:sz w:val="32"/>
          <w:szCs w:val="32"/>
          <w:lang w:bidi="hi-IN"/>
        </w:rPr>
        <w:t>、财政</w:t>
      </w:r>
      <w:r>
        <w:rPr>
          <w:rFonts w:ascii="仿宋" w:hAnsi="仿宋" w:eastAsia="仿宋"/>
          <w:sz w:val="32"/>
          <w:szCs w:val="32"/>
          <w:lang w:bidi="hi-IN"/>
        </w:rPr>
        <w:t>收入、</w:t>
      </w:r>
      <w:r>
        <w:rPr>
          <w:rFonts w:hint="eastAsia" w:ascii="仿宋" w:hAnsi="仿宋" w:eastAsia="仿宋"/>
          <w:sz w:val="32"/>
          <w:szCs w:val="32"/>
          <w:lang w:bidi="hi-IN"/>
        </w:rPr>
        <w:t>政府</w:t>
      </w:r>
      <w:r>
        <w:rPr>
          <w:rFonts w:ascii="仿宋" w:hAnsi="仿宋" w:eastAsia="仿宋"/>
          <w:sz w:val="32"/>
          <w:szCs w:val="32"/>
          <w:lang w:bidi="hi-IN"/>
        </w:rPr>
        <w:t>间财政关系、财政政策等基本范畴、内在关系及其运动规律有较系统的掌握。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了解国内外</w:t>
      </w:r>
      <w:r>
        <w:rPr>
          <w:rFonts w:hint="eastAsia" w:ascii="仿宋" w:hAnsi="仿宋" w:eastAsia="仿宋"/>
          <w:sz w:val="32"/>
          <w:szCs w:val="32"/>
          <w:lang w:bidi="hi-IN"/>
        </w:rPr>
        <w:t>财政</w:t>
      </w:r>
      <w:r>
        <w:rPr>
          <w:rFonts w:ascii="仿宋" w:hAnsi="仿宋" w:eastAsia="仿宋"/>
          <w:sz w:val="32"/>
          <w:szCs w:val="32"/>
          <w:lang w:bidi="hi-IN"/>
        </w:rPr>
        <w:t>问题的现状</w:t>
      </w:r>
      <w:r>
        <w:rPr>
          <w:rFonts w:hint="eastAsia" w:ascii="仿宋" w:hAnsi="仿宋" w:eastAsia="仿宋"/>
          <w:sz w:val="32"/>
          <w:szCs w:val="32"/>
          <w:lang w:bidi="hi-IN"/>
        </w:rPr>
        <w:t>及热点问题</w:t>
      </w:r>
      <w:r>
        <w:rPr>
          <w:rFonts w:ascii="仿宋" w:hAnsi="仿宋" w:eastAsia="仿宋"/>
          <w:sz w:val="32"/>
          <w:szCs w:val="32"/>
          <w:lang w:bidi="hi-IN"/>
        </w:rPr>
        <w:t>，掌握观察和分析</w:t>
      </w:r>
      <w:r>
        <w:rPr>
          <w:rFonts w:hint="eastAsia" w:ascii="仿宋" w:hAnsi="仿宋" w:eastAsia="仿宋"/>
          <w:sz w:val="32"/>
          <w:szCs w:val="32"/>
          <w:lang w:bidi="hi-IN"/>
        </w:rPr>
        <w:t>财政</w:t>
      </w:r>
      <w:r>
        <w:rPr>
          <w:rFonts w:ascii="仿宋" w:hAnsi="仿宋" w:eastAsia="仿宋"/>
          <w:sz w:val="32"/>
          <w:szCs w:val="32"/>
          <w:lang w:bidi="hi-IN"/>
        </w:rPr>
        <w:t>问题的正确方法</w:t>
      </w:r>
      <w:r>
        <w:rPr>
          <w:rFonts w:hint="eastAsia" w:ascii="仿宋" w:hAnsi="仿宋" w:eastAsia="仿宋"/>
          <w:sz w:val="32"/>
          <w:szCs w:val="32"/>
          <w:lang w:bidi="hi-IN"/>
        </w:rPr>
        <w:t>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4、具有</w:t>
      </w:r>
      <w:r>
        <w:rPr>
          <w:rFonts w:ascii="仿宋" w:hAnsi="仿宋" w:eastAsia="仿宋"/>
          <w:sz w:val="32"/>
          <w:szCs w:val="32"/>
          <w:lang w:bidi="hi-IN"/>
        </w:rPr>
        <w:t>辨析</w:t>
      </w:r>
      <w:r>
        <w:rPr>
          <w:rFonts w:hint="eastAsia" w:ascii="仿宋" w:hAnsi="仿宋" w:eastAsia="仿宋"/>
          <w:sz w:val="32"/>
          <w:szCs w:val="32"/>
          <w:lang w:bidi="hi-IN"/>
        </w:rPr>
        <w:t>基本财政</w:t>
      </w:r>
      <w:r>
        <w:rPr>
          <w:rFonts w:ascii="仿宋" w:hAnsi="仿宋" w:eastAsia="仿宋"/>
          <w:sz w:val="32"/>
          <w:szCs w:val="32"/>
          <w:lang w:bidi="hi-IN"/>
        </w:rPr>
        <w:t>理论和解决</w:t>
      </w:r>
      <w:r>
        <w:rPr>
          <w:rFonts w:hint="eastAsia" w:ascii="仿宋" w:hAnsi="仿宋" w:eastAsia="仿宋"/>
          <w:sz w:val="32"/>
          <w:szCs w:val="32"/>
          <w:lang w:bidi="hi-IN"/>
        </w:rPr>
        <w:t>财政</w:t>
      </w:r>
      <w:r>
        <w:rPr>
          <w:rFonts w:ascii="仿宋" w:hAnsi="仿宋" w:eastAsia="仿宋"/>
          <w:sz w:val="32"/>
          <w:szCs w:val="32"/>
          <w:lang w:bidi="hi-IN"/>
        </w:rPr>
        <w:t>实际问题的能力</w:t>
      </w:r>
      <w:r>
        <w:rPr>
          <w:rFonts w:hint="eastAsia" w:ascii="仿宋" w:hAnsi="仿宋" w:eastAsia="仿宋"/>
          <w:sz w:val="32"/>
          <w:szCs w:val="32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●考试内容</w:t>
      </w:r>
    </w:p>
    <w:p>
      <w:pPr>
        <w:spacing w:before="156" w:beforeLines="50" w:after="156" w:afterLines="50"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财政</w:t>
      </w:r>
      <w:r>
        <w:rPr>
          <w:rFonts w:ascii="仿宋" w:hAnsi="仿宋" w:eastAsia="仿宋"/>
          <w:b/>
          <w:sz w:val="32"/>
          <w:szCs w:val="32"/>
          <w:lang w:bidi="hi-IN"/>
        </w:rPr>
        <w:t>学概述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（一）财政学对象</w:t>
      </w:r>
      <w:r>
        <w:rPr>
          <w:rFonts w:ascii="仿宋" w:hAnsi="仿宋" w:eastAsia="仿宋"/>
          <w:sz w:val="32"/>
          <w:szCs w:val="32"/>
          <w:lang w:bidi="hi-IN"/>
        </w:rPr>
        <w:t>和财政</w:t>
      </w:r>
      <w:r>
        <w:rPr>
          <w:rFonts w:hint="eastAsia" w:ascii="仿宋" w:hAnsi="仿宋" w:eastAsia="仿宋"/>
          <w:sz w:val="32"/>
          <w:szCs w:val="32"/>
          <w:lang w:bidi="hi-IN"/>
        </w:rPr>
        <w:t>职能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1、财政学</w:t>
      </w:r>
      <w:r>
        <w:rPr>
          <w:rFonts w:ascii="仿宋" w:hAnsi="仿宋" w:eastAsia="仿宋"/>
          <w:sz w:val="32"/>
          <w:szCs w:val="32"/>
          <w:lang w:bidi="hi-IN"/>
        </w:rPr>
        <w:t>对象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2、财政职能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（二）财政学的</w:t>
      </w:r>
      <w:r>
        <w:rPr>
          <w:rFonts w:ascii="仿宋" w:hAnsi="仿宋" w:eastAsia="仿宋"/>
          <w:sz w:val="32"/>
          <w:szCs w:val="32"/>
          <w:lang w:bidi="hi-IN"/>
        </w:rPr>
        <w:t>基本理论问题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1、政府与</w:t>
      </w:r>
      <w:r>
        <w:rPr>
          <w:rFonts w:ascii="仿宋" w:hAnsi="仿宋" w:eastAsia="仿宋"/>
          <w:sz w:val="32"/>
          <w:szCs w:val="32"/>
          <w:lang w:bidi="hi-IN"/>
        </w:rPr>
        <w:t>市场的关系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2、公共物品和</w:t>
      </w:r>
      <w:r>
        <w:rPr>
          <w:rFonts w:ascii="仿宋" w:hAnsi="仿宋" w:eastAsia="仿宋"/>
          <w:sz w:val="32"/>
          <w:szCs w:val="32"/>
          <w:lang w:bidi="hi-IN"/>
        </w:rPr>
        <w:t>公共需求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（三）国家预算</w:t>
      </w:r>
      <w:r>
        <w:rPr>
          <w:rFonts w:ascii="仿宋" w:hAnsi="仿宋" w:eastAsia="仿宋"/>
          <w:sz w:val="32"/>
          <w:szCs w:val="32"/>
          <w:lang w:bidi="hi-IN"/>
        </w:rPr>
        <w:t>和预算管理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1、国家预算</w:t>
      </w:r>
      <w:r>
        <w:rPr>
          <w:rFonts w:ascii="仿宋" w:hAnsi="仿宋" w:eastAsia="仿宋"/>
          <w:sz w:val="32"/>
          <w:szCs w:val="32"/>
          <w:lang w:bidi="hi-IN"/>
        </w:rPr>
        <w:t>概述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2、预算管理</w:t>
      </w:r>
      <w:r>
        <w:rPr>
          <w:rFonts w:ascii="仿宋" w:hAnsi="仿宋" w:eastAsia="仿宋"/>
          <w:sz w:val="32"/>
          <w:szCs w:val="32"/>
          <w:lang w:bidi="hi-IN"/>
        </w:rPr>
        <w:t>制度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微观财政学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（四）财政支出</w:t>
      </w:r>
      <w:r>
        <w:rPr>
          <w:rFonts w:ascii="仿宋" w:hAnsi="仿宋" w:eastAsia="仿宋"/>
          <w:sz w:val="32"/>
          <w:szCs w:val="32"/>
          <w:lang w:bidi="hi-IN"/>
        </w:rPr>
        <w:t>概述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1、公共物品</w:t>
      </w:r>
      <w:r>
        <w:rPr>
          <w:rFonts w:ascii="仿宋" w:hAnsi="仿宋" w:eastAsia="仿宋"/>
          <w:sz w:val="32"/>
          <w:szCs w:val="32"/>
          <w:lang w:bidi="hi-IN"/>
        </w:rPr>
        <w:t>的提供方式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2、公共生产和</w:t>
      </w:r>
      <w:r>
        <w:rPr>
          <w:rFonts w:ascii="仿宋" w:hAnsi="仿宋" w:eastAsia="仿宋"/>
          <w:sz w:val="32"/>
          <w:szCs w:val="32"/>
          <w:lang w:bidi="hi-IN"/>
        </w:rPr>
        <w:t>公共定价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财政支出效益的分析与评价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（五）公共财政</w:t>
      </w:r>
      <w:r>
        <w:rPr>
          <w:rFonts w:ascii="仿宋" w:hAnsi="仿宋" w:eastAsia="仿宋"/>
          <w:sz w:val="32"/>
          <w:szCs w:val="32"/>
          <w:lang w:bidi="hi-IN"/>
        </w:rPr>
        <w:t>支出规模</w:t>
      </w:r>
      <w:r>
        <w:rPr>
          <w:rFonts w:hint="eastAsia" w:ascii="仿宋" w:hAnsi="仿宋" w:eastAsia="仿宋"/>
          <w:sz w:val="32"/>
          <w:szCs w:val="32"/>
          <w:lang w:bidi="hi-IN"/>
        </w:rPr>
        <w:t>与</w:t>
      </w:r>
      <w:r>
        <w:rPr>
          <w:rFonts w:ascii="仿宋" w:hAnsi="仿宋" w:eastAsia="仿宋"/>
          <w:sz w:val="32"/>
          <w:szCs w:val="32"/>
          <w:lang w:bidi="hi-IN"/>
        </w:rPr>
        <w:t>结构分析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</w:t>
      </w:r>
      <w:r>
        <w:rPr>
          <w:rFonts w:ascii="仿宋" w:hAnsi="仿宋" w:eastAsia="仿宋"/>
          <w:sz w:val="32"/>
          <w:szCs w:val="32"/>
          <w:lang w:bidi="hi-IN"/>
        </w:rPr>
        <w:t>公共财政支出规模分析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2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公共财政支出结构分析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（六）经常性</w:t>
      </w:r>
      <w:r>
        <w:rPr>
          <w:rFonts w:ascii="仿宋" w:hAnsi="仿宋" w:eastAsia="仿宋"/>
          <w:sz w:val="32"/>
          <w:szCs w:val="32"/>
          <w:lang w:bidi="hi-IN"/>
        </w:rPr>
        <w:t>支出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1、行政管理</w:t>
      </w:r>
      <w:r>
        <w:rPr>
          <w:rFonts w:ascii="仿宋" w:hAnsi="仿宋" w:eastAsia="仿宋"/>
          <w:sz w:val="32"/>
          <w:szCs w:val="32"/>
          <w:lang w:bidi="hi-IN"/>
        </w:rPr>
        <w:t>与国防支出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</w:t>
      </w:r>
      <w:r>
        <w:rPr>
          <w:rFonts w:ascii="仿宋" w:hAnsi="仿宋" w:eastAsia="仿宋"/>
          <w:sz w:val="32"/>
          <w:szCs w:val="32"/>
          <w:lang w:bidi="hi-IN"/>
        </w:rPr>
        <w:t>教育、科学技术和医疗卫生支出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（七）财政投资性</w:t>
      </w:r>
      <w:r>
        <w:rPr>
          <w:rFonts w:ascii="仿宋" w:hAnsi="仿宋" w:eastAsia="仿宋"/>
          <w:sz w:val="32"/>
          <w:szCs w:val="32"/>
          <w:lang w:bidi="hi-IN"/>
        </w:rPr>
        <w:t>支出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1、财政投资性支出</w:t>
      </w:r>
      <w:r>
        <w:rPr>
          <w:rFonts w:ascii="仿宋" w:hAnsi="仿宋" w:eastAsia="仿宋"/>
          <w:sz w:val="32"/>
          <w:szCs w:val="32"/>
          <w:lang w:bidi="hi-IN"/>
        </w:rPr>
        <w:t>的一般分析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2、基础设施</w:t>
      </w:r>
      <w:r>
        <w:rPr>
          <w:rFonts w:ascii="仿宋" w:hAnsi="仿宋" w:eastAsia="仿宋"/>
          <w:sz w:val="32"/>
          <w:szCs w:val="32"/>
          <w:lang w:bidi="hi-IN"/>
        </w:rPr>
        <w:t>建设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3、财政用于</w:t>
      </w:r>
      <w:r>
        <w:rPr>
          <w:rFonts w:ascii="仿宋" w:hAnsi="仿宋" w:eastAsia="仿宋"/>
          <w:sz w:val="32"/>
          <w:szCs w:val="32"/>
          <w:lang w:bidi="hi-IN"/>
        </w:rPr>
        <w:t>“三农</w:t>
      </w:r>
      <w:r>
        <w:rPr>
          <w:rFonts w:hint="eastAsia" w:ascii="仿宋" w:hAnsi="仿宋" w:eastAsia="仿宋"/>
          <w:sz w:val="32"/>
          <w:szCs w:val="32"/>
          <w:lang w:bidi="hi-IN"/>
        </w:rPr>
        <w:t>”的</w:t>
      </w:r>
      <w:r>
        <w:rPr>
          <w:rFonts w:ascii="仿宋" w:hAnsi="仿宋" w:eastAsia="仿宋"/>
          <w:sz w:val="32"/>
          <w:szCs w:val="32"/>
          <w:lang w:bidi="hi-IN"/>
        </w:rPr>
        <w:t>投入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（八）财政转移</w:t>
      </w:r>
      <w:r>
        <w:rPr>
          <w:rFonts w:ascii="仿宋" w:hAnsi="仿宋" w:eastAsia="仿宋"/>
          <w:sz w:val="32"/>
          <w:szCs w:val="32"/>
          <w:lang w:bidi="hi-IN"/>
        </w:rPr>
        <w:t>性支出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1、社会保险</w:t>
      </w:r>
      <w:r>
        <w:rPr>
          <w:rFonts w:ascii="仿宋" w:hAnsi="仿宋" w:eastAsia="仿宋"/>
          <w:sz w:val="32"/>
          <w:szCs w:val="32"/>
          <w:lang w:bidi="hi-IN"/>
        </w:rPr>
        <w:t>支出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2、财政补贴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3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税收支出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（九）财政收入</w:t>
      </w:r>
      <w:r>
        <w:rPr>
          <w:rFonts w:ascii="仿宋" w:hAnsi="仿宋" w:eastAsia="仿宋"/>
          <w:sz w:val="32"/>
          <w:szCs w:val="32"/>
          <w:lang w:bidi="hi-IN"/>
        </w:rPr>
        <w:t>规模与构成分析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1、</w:t>
      </w:r>
      <w:r>
        <w:rPr>
          <w:rFonts w:ascii="仿宋" w:hAnsi="仿宋" w:eastAsia="仿宋"/>
          <w:sz w:val="32"/>
          <w:szCs w:val="32"/>
          <w:lang w:bidi="hi-IN"/>
        </w:rPr>
        <w:t>影响财政收入</w:t>
      </w:r>
      <w:r>
        <w:rPr>
          <w:rFonts w:hint="eastAsia" w:ascii="仿宋" w:hAnsi="仿宋" w:eastAsia="仿宋"/>
          <w:sz w:val="32"/>
          <w:szCs w:val="32"/>
          <w:lang w:bidi="hi-IN"/>
        </w:rPr>
        <w:t>规模</w:t>
      </w:r>
      <w:r>
        <w:rPr>
          <w:rFonts w:ascii="仿宋" w:hAnsi="仿宋" w:eastAsia="仿宋"/>
          <w:sz w:val="32"/>
          <w:szCs w:val="32"/>
          <w:lang w:bidi="hi-IN"/>
        </w:rPr>
        <w:t>的经济因素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2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我国财政收入增长变化趋势的实证分析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3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我国当前财政收入规模水平的分析与评估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4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我国改革财政收入构成和非税收入分析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（十四）预算</w:t>
      </w:r>
      <w:r>
        <w:rPr>
          <w:rFonts w:ascii="仿宋" w:hAnsi="仿宋" w:eastAsia="仿宋"/>
          <w:sz w:val="32"/>
          <w:szCs w:val="32"/>
          <w:lang w:bidi="hi-IN"/>
        </w:rPr>
        <w:t>管理体制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</w:t>
      </w:r>
      <w:r>
        <w:rPr>
          <w:rFonts w:ascii="仿宋" w:hAnsi="仿宋" w:eastAsia="仿宋"/>
          <w:sz w:val="32"/>
          <w:szCs w:val="32"/>
          <w:lang w:bidi="hi-IN"/>
        </w:rPr>
        <w:t>预算管理体制概述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2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中国分税制改革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全面深化改革中的分税制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（十五）国债</w:t>
      </w:r>
      <w:r>
        <w:rPr>
          <w:rFonts w:ascii="仿宋" w:hAnsi="仿宋" w:eastAsia="仿宋"/>
          <w:sz w:val="32"/>
          <w:szCs w:val="32"/>
          <w:lang w:bidi="hi-IN"/>
        </w:rPr>
        <w:t>和国债市场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1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国债的基本原理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</w:t>
      </w:r>
      <w:r>
        <w:rPr>
          <w:rFonts w:ascii="仿宋" w:hAnsi="仿宋" w:eastAsia="仿宋"/>
          <w:sz w:val="32"/>
          <w:szCs w:val="32"/>
          <w:lang w:bidi="hi-IN"/>
        </w:rPr>
        <w:t>国债的经济效应和政策功能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国债债务率分析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4、</w:t>
      </w:r>
      <w:r>
        <w:rPr>
          <w:rFonts w:ascii="仿宋" w:hAnsi="仿宋" w:eastAsia="仿宋"/>
          <w:sz w:val="32"/>
          <w:szCs w:val="32"/>
          <w:lang w:bidi="hi-IN"/>
        </w:rPr>
        <w:t>我国地方政府债务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5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国债市场及其功能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</w:p>
    <w:p>
      <w:pPr>
        <w:spacing w:before="156" w:beforeLines="50" w:after="156" w:afterLines="50"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宏观财政学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（十六）财政</w:t>
      </w:r>
      <w:r>
        <w:rPr>
          <w:rFonts w:ascii="仿宋" w:hAnsi="仿宋" w:eastAsia="仿宋"/>
          <w:sz w:val="32"/>
          <w:szCs w:val="32"/>
          <w:lang w:bidi="hi-IN"/>
        </w:rPr>
        <w:t>平衡和财政赤字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1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财政平衡和财政赤字概述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2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财政赤字与社会总供求平衡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3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运用</w:t>
      </w:r>
      <w:r>
        <w:rPr>
          <w:rFonts w:hint="eastAsia" w:ascii="仿宋" w:hAnsi="仿宋" w:eastAsia="仿宋"/>
          <w:sz w:val="32"/>
          <w:szCs w:val="32"/>
          <w:lang w:bidi="hi-IN"/>
        </w:rPr>
        <w:t>IS-LM模型</w:t>
      </w:r>
      <w:r>
        <w:rPr>
          <w:rFonts w:ascii="仿宋" w:hAnsi="仿宋" w:eastAsia="仿宋"/>
          <w:sz w:val="32"/>
          <w:szCs w:val="32"/>
          <w:lang w:bidi="hi-IN"/>
        </w:rPr>
        <w:t>分析财政赤字的经济效应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（十七）财政</w:t>
      </w:r>
      <w:r>
        <w:rPr>
          <w:rFonts w:ascii="仿宋" w:hAnsi="仿宋" w:eastAsia="仿宋"/>
          <w:sz w:val="32"/>
          <w:szCs w:val="32"/>
          <w:lang w:bidi="hi-IN"/>
        </w:rPr>
        <w:t>政策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</w:t>
      </w:r>
      <w:r>
        <w:rPr>
          <w:rFonts w:ascii="仿宋" w:hAnsi="仿宋" w:eastAsia="仿宋"/>
          <w:sz w:val="32"/>
          <w:szCs w:val="32"/>
          <w:lang w:bidi="hi-IN"/>
        </w:rPr>
        <w:t>财政政策概述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2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财政政策的类型</w:t>
      </w:r>
    </w:p>
    <w:p>
      <w:pPr>
        <w:spacing w:before="156" w:beforeLines="50" w:after="156" w:afterLines="50" w:line="500" w:lineRule="exact"/>
        <w:ind w:firstLine="800" w:firstLineChars="25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我国改革开放后财政政策的实践</w:t>
      </w:r>
    </w:p>
    <w:p>
      <w:pPr>
        <w:spacing w:before="156" w:beforeLines="50" w:after="156" w:afterLines="50" w:line="500" w:lineRule="exact"/>
        <w:ind w:firstLine="800" w:firstLineChars="2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4</w:t>
      </w:r>
      <w:r>
        <w:rPr>
          <w:rFonts w:hint="eastAsia" w:ascii="仿宋" w:hAnsi="仿宋" w:eastAsia="仿宋"/>
          <w:sz w:val="32"/>
          <w:szCs w:val="32"/>
          <w:lang w:bidi="hi-IN"/>
        </w:rPr>
        <w:t>、</w:t>
      </w:r>
      <w:r>
        <w:rPr>
          <w:rFonts w:ascii="仿宋" w:hAnsi="仿宋" w:eastAsia="仿宋"/>
          <w:sz w:val="32"/>
          <w:szCs w:val="32"/>
          <w:lang w:bidi="hi-IN"/>
        </w:rPr>
        <w:t>财政政策与货币政策的配合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F84"/>
    <w:multiLevelType w:val="multilevel"/>
    <w:tmpl w:val="66325F84"/>
    <w:lvl w:ilvl="0" w:tentative="0">
      <w:start w:val="1"/>
      <w:numFmt w:val="japaneseCounting"/>
      <w:pStyle w:val="5"/>
      <w:lvlText w:val="（%1）"/>
      <w:lvlJc w:val="left"/>
      <w:pPr>
        <w:tabs>
          <w:tab w:val="left" w:pos="1260"/>
        </w:tabs>
        <w:ind w:left="126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C"/>
    <w:rsid w:val="0000277B"/>
    <w:rsid w:val="00004F1F"/>
    <w:rsid w:val="00007671"/>
    <w:rsid w:val="0002034E"/>
    <w:rsid w:val="00027D33"/>
    <w:rsid w:val="00043374"/>
    <w:rsid w:val="00045995"/>
    <w:rsid w:val="00057F00"/>
    <w:rsid w:val="00061B43"/>
    <w:rsid w:val="000741E5"/>
    <w:rsid w:val="000B531B"/>
    <w:rsid w:val="000C209C"/>
    <w:rsid w:val="000C2C7D"/>
    <w:rsid w:val="000D730C"/>
    <w:rsid w:val="000E3D09"/>
    <w:rsid w:val="00103DCD"/>
    <w:rsid w:val="00111F10"/>
    <w:rsid w:val="00117052"/>
    <w:rsid w:val="001648EE"/>
    <w:rsid w:val="001A6321"/>
    <w:rsid w:val="001B78A6"/>
    <w:rsid w:val="001B7D28"/>
    <w:rsid w:val="001C06BB"/>
    <w:rsid w:val="001D6880"/>
    <w:rsid w:val="001D7823"/>
    <w:rsid w:val="001E2954"/>
    <w:rsid w:val="001F0C81"/>
    <w:rsid w:val="0020408A"/>
    <w:rsid w:val="00230B02"/>
    <w:rsid w:val="002A5E29"/>
    <w:rsid w:val="002D3A6A"/>
    <w:rsid w:val="00300164"/>
    <w:rsid w:val="00304079"/>
    <w:rsid w:val="00311FEA"/>
    <w:rsid w:val="00312A95"/>
    <w:rsid w:val="00336469"/>
    <w:rsid w:val="0036574B"/>
    <w:rsid w:val="0036682C"/>
    <w:rsid w:val="003742C1"/>
    <w:rsid w:val="00376752"/>
    <w:rsid w:val="003A1A62"/>
    <w:rsid w:val="003C5973"/>
    <w:rsid w:val="003F1D36"/>
    <w:rsid w:val="0041324F"/>
    <w:rsid w:val="00414974"/>
    <w:rsid w:val="0041538C"/>
    <w:rsid w:val="004202F8"/>
    <w:rsid w:val="00422576"/>
    <w:rsid w:val="00423489"/>
    <w:rsid w:val="00492AEE"/>
    <w:rsid w:val="004A33DB"/>
    <w:rsid w:val="00500CBB"/>
    <w:rsid w:val="0055635D"/>
    <w:rsid w:val="00557655"/>
    <w:rsid w:val="005B1224"/>
    <w:rsid w:val="005C15CD"/>
    <w:rsid w:val="005D7DED"/>
    <w:rsid w:val="00627315"/>
    <w:rsid w:val="00633DE2"/>
    <w:rsid w:val="00657C84"/>
    <w:rsid w:val="00660CEB"/>
    <w:rsid w:val="00667E44"/>
    <w:rsid w:val="00680A2E"/>
    <w:rsid w:val="00681AD9"/>
    <w:rsid w:val="006B43D1"/>
    <w:rsid w:val="006B57EE"/>
    <w:rsid w:val="007049F2"/>
    <w:rsid w:val="00761ECD"/>
    <w:rsid w:val="00786E08"/>
    <w:rsid w:val="007C512D"/>
    <w:rsid w:val="007D01CE"/>
    <w:rsid w:val="007E0326"/>
    <w:rsid w:val="007E1DC1"/>
    <w:rsid w:val="008004A2"/>
    <w:rsid w:val="0081411F"/>
    <w:rsid w:val="00816636"/>
    <w:rsid w:val="00847932"/>
    <w:rsid w:val="00850F18"/>
    <w:rsid w:val="008624A2"/>
    <w:rsid w:val="008634BD"/>
    <w:rsid w:val="008670BE"/>
    <w:rsid w:val="008A0AEB"/>
    <w:rsid w:val="008A312A"/>
    <w:rsid w:val="008A6B52"/>
    <w:rsid w:val="008C6BDA"/>
    <w:rsid w:val="008F09DE"/>
    <w:rsid w:val="00926D7E"/>
    <w:rsid w:val="00940E47"/>
    <w:rsid w:val="00971CD3"/>
    <w:rsid w:val="0097476A"/>
    <w:rsid w:val="0097734C"/>
    <w:rsid w:val="009B2D64"/>
    <w:rsid w:val="009B49D0"/>
    <w:rsid w:val="009E1EE0"/>
    <w:rsid w:val="00A37FB7"/>
    <w:rsid w:val="00A415CB"/>
    <w:rsid w:val="00A42838"/>
    <w:rsid w:val="00AA1F7F"/>
    <w:rsid w:val="00B43B02"/>
    <w:rsid w:val="00B50E06"/>
    <w:rsid w:val="00B57DDB"/>
    <w:rsid w:val="00B913CB"/>
    <w:rsid w:val="00BA35A8"/>
    <w:rsid w:val="00BA6627"/>
    <w:rsid w:val="00BC1E7C"/>
    <w:rsid w:val="00BC45C0"/>
    <w:rsid w:val="00BD32E4"/>
    <w:rsid w:val="00BE2C0C"/>
    <w:rsid w:val="00BE65EE"/>
    <w:rsid w:val="00C12D73"/>
    <w:rsid w:val="00C300D0"/>
    <w:rsid w:val="00C35939"/>
    <w:rsid w:val="00C50A99"/>
    <w:rsid w:val="00C563C6"/>
    <w:rsid w:val="00C6386C"/>
    <w:rsid w:val="00C70A63"/>
    <w:rsid w:val="00C75572"/>
    <w:rsid w:val="00C8008C"/>
    <w:rsid w:val="00C95410"/>
    <w:rsid w:val="00CA3390"/>
    <w:rsid w:val="00CB5682"/>
    <w:rsid w:val="00CE1C3D"/>
    <w:rsid w:val="00D33CC4"/>
    <w:rsid w:val="00D54375"/>
    <w:rsid w:val="00D57BEC"/>
    <w:rsid w:val="00D653FE"/>
    <w:rsid w:val="00D8727E"/>
    <w:rsid w:val="00D94252"/>
    <w:rsid w:val="00D95F7A"/>
    <w:rsid w:val="00DA02C9"/>
    <w:rsid w:val="00DC2314"/>
    <w:rsid w:val="00E131B5"/>
    <w:rsid w:val="00EE2CCD"/>
    <w:rsid w:val="00EF437D"/>
    <w:rsid w:val="00EF7EF3"/>
    <w:rsid w:val="00F12667"/>
    <w:rsid w:val="00F220AE"/>
    <w:rsid w:val="00F226CB"/>
    <w:rsid w:val="00F27505"/>
    <w:rsid w:val="00F766D9"/>
    <w:rsid w:val="00FB38D8"/>
    <w:rsid w:val="00FE082D"/>
    <w:rsid w:val="00FE5D5D"/>
    <w:rsid w:val="00FF333B"/>
    <w:rsid w:val="253772E8"/>
    <w:rsid w:val="362F0F75"/>
    <w:rsid w:val="4FFD36DE"/>
    <w:rsid w:val="DF524E48"/>
    <w:rsid w:val="FD57E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left="60" w:firstLine="780"/>
      <w:jc w:val="both"/>
    </w:pPr>
    <w:rPr>
      <w:rFonts w:ascii="Times New Roman" w:hAnsi="Times New Roman"/>
      <w:kern w:val="2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widowControl w:val="0"/>
      <w:numPr>
        <w:ilvl w:val="0"/>
        <w:numId w:val="1"/>
      </w:numPr>
      <w:spacing w:after="0" w:line="240" w:lineRule="auto"/>
      <w:jc w:val="both"/>
    </w:pPr>
    <w:rPr>
      <w:rFonts w:ascii="宋体" w:hAnsi="宋体"/>
      <w:kern w:val="2"/>
      <w:sz w:val="21"/>
      <w:szCs w:val="24"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2002-01-01T06:11:00Z</dcterms:created>
  <dc:creator>微软用户</dc:creator>
  <cp:lastModifiedBy>vertesyuan</cp:lastModifiedBy>
  <cp:lastPrinted>2018-07-02T17:38:00Z</cp:lastPrinted>
  <dcterms:modified xsi:type="dcterms:W3CDTF">2021-11-26T10:56:25Z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8783183C45C14D979B60DB3EE959C5AB</vt:lpwstr>
  </property>
</Properties>
</file>