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bidi="hi-IN"/>
        </w:rPr>
        <w:t>20</w:t>
      </w:r>
      <w:r>
        <w:rPr>
          <w:rFonts w:hint="eastAsia"/>
          <w:sz w:val="40"/>
          <w:szCs w:val="40"/>
          <w:lang w:bidi="hi-IN"/>
        </w:rPr>
        <w:t>2</w:t>
      </w:r>
      <w:r>
        <w:rPr>
          <w:rFonts w:hint="eastAsia"/>
          <w:sz w:val="40"/>
          <w:szCs w:val="40"/>
          <w:lang w:val="en-US" w:eastAsia="zh-CN" w:bidi="hi-IN"/>
        </w:rPr>
        <w:t>2</w:t>
      </w:r>
      <w:r>
        <w:rPr>
          <w:rFonts w:hint="eastAsia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hAnsi="宋体"/>
          <w:sz w:val="24"/>
          <w:lang w:bidi="hi-IN"/>
        </w:rPr>
      </w:pPr>
      <w:r>
        <w:rPr>
          <w:rFonts w:hint="eastAsia" w:eastAsia="方正书宋简体"/>
          <w:sz w:val="24"/>
        </w:rPr>
        <w:t>考试科目代码：</w:t>
      </w:r>
      <w:r>
        <w:rPr>
          <w:rFonts w:eastAsia="方正书宋简体"/>
          <w:sz w:val="24"/>
        </w:rPr>
        <w:t>[</w:t>
      </w:r>
      <w:r>
        <w:rPr>
          <w:rFonts w:hint="eastAsia" w:eastAsia="方正书宋简体"/>
          <w:color w:val="FF0000"/>
          <w:sz w:val="24"/>
        </w:rPr>
        <w:t xml:space="preserve">  </w:t>
      </w:r>
      <w:r>
        <w:rPr>
          <w:rFonts w:eastAsia="方正书宋简体"/>
          <w:sz w:val="24"/>
        </w:rPr>
        <w:t xml:space="preserve">]               </w:t>
      </w:r>
      <w:r>
        <w:rPr>
          <w:rFonts w:hint="eastAsia" w:eastAsia="方正书宋简体"/>
          <w:sz w:val="24"/>
        </w:rPr>
        <w:t>考试科目名称：</w:t>
      </w:r>
      <w:r>
        <w:rPr>
          <w:rFonts w:hint="eastAsia" w:hAnsi="宋体"/>
          <w:sz w:val="24"/>
          <w:lang w:bidi="hi-IN"/>
        </w:rPr>
        <w:t>金融市场学</w:t>
      </w:r>
    </w:p>
    <w:p>
      <w:pPr>
        <w:spacing w:line="500" w:lineRule="exact"/>
        <w:jc w:val="center"/>
        <w:rPr>
          <w:rFonts w:hint="eastAsia" w:eastAsia="方正书宋简体"/>
          <w:sz w:val="24"/>
        </w:rPr>
      </w:pPr>
    </w:p>
    <w:p>
      <w:pPr>
        <w:spacing w:before="156" w:beforeLines="50" w:after="156" w:afterLines="50" w:line="50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本试卷满分为</w:t>
      </w:r>
      <w:r>
        <w:rPr>
          <w:rFonts w:hint="eastAsia" w:ascii="仿宋_GB2312" w:eastAsia="仿宋_GB2312"/>
          <w:sz w:val="32"/>
          <w:szCs w:val="32"/>
          <w:lang w:bidi="hi-IN"/>
        </w:rPr>
        <w:t>150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分，考试时间为</w:t>
      </w:r>
      <w:r>
        <w:rPr>
          <w:rFonts w:hint="eastAsia" w:ascii="仿宋_GB2312" w:eastAsia="仿宋_GB2312"/>
          <w:sz w:val="32"/>
          <w:szCs w:val="32"/>
          <w:lang w:bidi="hi-IN"/>
        </w:rPr>
        <w:t>120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分钟。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2、答题方式：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闭卷、笔试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3、试卷内容结构</w:t>
      </w:r>
    </w:p>
    <w:p>
      <w:pPr>
        <w:pStyle w:val="10"/>
        <w:spacing w:line="315" w:lineRule="atLeast"/>
        <w:ind w:firstLine="800" w:firstLineChars="25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基础知识（65分），机制与定价（55分），主体行为（30分）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4、题型结构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名词解释题：</w:t>
      </w:r>
      <w:r>
        <w:rPr>
          <w:rFonts w:hint="eastAsia" w:ascii="仿宋_GB2312" w:eastAsia="仿宋_GB2312"/>
          <w:sz w:val="32"/>
          <w:szCs w:val="32"/>
          <w:lang w:bidi="hi-IN"/>
        </w:rPr>
        <w:t>6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hint="eastAsia" w:ascii="仿宋_GB2312" w:eastAsia="仿宋_GB2312"/>
          <w:sz w:val="32"/>
          <w:szCs w:val="32"/>
          <w:lang w:bidi="hi-IN"/>
        </w:rPr>
        <w:t>5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hint="eastAsia" w:ascii="仿宋_GB2312" w:eastAsia="仿宋_GB2312"/>
          <w:sz w:val="32"/>
          <w:szCs w:val="32"/>
          <w:lang w:bidi="hi-IN"/>
        </w:rPr>
        <w:t>30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简  答  题：</w:t>
      </w:r>
      <w:r>
        <w:rPr>
          <w:rFonts w:hint="eastAsia" w:ascii="仿宋_GB2312" w:eastAsia="仿宋_GB2312"/>
          <w:sz w:val="32"/>
          <w:szCs w:val="32"/>
          <w:lang w:bidi="hi-IN"/>
        </w:rPr>
        <w:t>5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hint="eastAsia" w:ascii="仿宋_GB2312" w:eastAsia="仿宋_GB2312"/>
          <w:sz w:val="32"/>
          <w:szCs w:val="32"/>
          <w:lang w:bidi="hi-IN"/>
        </w:rPr>
        <w:t>10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hint="eastAsia" w:ascii="仿宋_GB2312" w:eastAsia="仿宋_GB2312"/>
          <w:sz w:val="32"/>
          <w:szCs w:val="32"/>
          <w:lang w:bidi="hi-IN"/>
        </w:rPr>
        <w:t>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论  述  题：</w:t>
      </w:r>
      <w:r>
        <w:rPr>
          <w:rFonts w:hint="eastAsia" w:ascii="仿宋_GB2312" w:eastAsia="仿宋_GB2312"/>
          <w:sz w:val="32"/>
          <w:szCs w:val="32"/>
          <w:lang w:bidi="hi-IN"/>
        </w:rPr>
        <w:t>2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20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hint="eastAsia" w:ascii="仿宋_GB2312" w:eastAsia="仿宋_GB2312"/>
          <w:sz w:val="32"/>
          <w:szCs w:val="32"/>
          <w:lang w:bidi="hi-IN"/>
        </w:rPr>
        <w:t>40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计  算  题：</w:t>
      </w:r>
      <w:r>
        <w:rPr>
          <w:rFonts w:hint="eastAsia" w:ascii="仿宋_GB2312" w:eastAsia="仿宋_GB2312"/>
          <w:sz w:val="32"/>
          <w:szCs w:val="32"/>
          <w:lang w:bidi="hi-IN"/>
        </w:rPr>
        <w:t>2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15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hint="eastAsia" w:ascii="仿宋_GB2312" w:eastAsia="仿宋_GB2312"/>
          <w:sz w:val="32"/>
          <w:szCs w:val="32"/>
          <w:lang w:bidi="hi-IN"/>
        </w:rPr>
        <w:t>30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56" w:beforeLines="50" w:after="156" w:afterLines="50" w:line="500" w:lineRule="exact"/>
        <w:ind w:firstLine="630" w:firstLineChars="196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_GB2312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●考试目标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>1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、认识课程的性质、研究对象及任务，掌握课程的基本内容、体系和结构。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2、掌握金融市场的基本理论、基本知识、和基本方法</w:t>
      </w:r>
      <w:r>
        <w:rPr>
          <w:rFonts w:ascii="仿宋_GB2312" w:hAnsi="宋体" w:eastAsia="仿宋_GB2312"/>
          <w:sz w:val="32"/>
          <w:szCs w:val="32"/>
          <w:lang w:bidi="hi-IN"/>
        </w:rPr>
        <w:t>。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了解、理解并掌握</w:t>
      </w:r>
      <w:r>
        <w:rPr>
          <w:rFonts w:ascii="仿宋_GB2312" w:hAnsi="宋体" w:eastAsia="仿宋_GB2312"/>
          <w:sz w:val="32"/>
          <w:szCs w:val="32"/>
          <w:lang w:bidi="hi-IN"/>
        </w:rPr>
        <w:t>金融市场总体、货币市场、资本市场、外汇市场、衍生市场的基本原理和运作方式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，掌握以</w:t>
      </w:r>
      <w:r>
        <w:rPr>
          <w:rFonts w:ascii="仿宋_GB2312" w:hAnsi="宋体" w:eastAsia="仿宋_GB2312"/>
          <w:sz w:val="32"/>
          <w:szCs w:val="32"/>
          <w:lang w:bidi="hi-IN"/>
        </w:rPr>
        <w:t>利率机制与风险机制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为基础的</w:t>
      </w:r>
      <w:r>
        <w:rPr>
          <w:rFonts w:ascii="仿宋_GB2312" w:hAnsi="宋体" w:eastAsia="仿宋_GB2312"/>
          <w:sz w:val="32"/>
          <w:szCs w:val="32"/>
          <w:lang w:bidi="hi-IN"/>
        </w:rPr>
        <w:t>风险资产的定价，债券价值分析，普通股价值分析，远期、期货、期权的定价等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，并从</w:t>
      </w:r>
      <w:r>
        <w:rPr>
          <w:rFonts w:ascii="仿宋_GB2312" w:hAnsi="宋体" w:eastAsia="仿宋_GB2312"/>
          <w:sz w:val="32"/>
          <w:szCs w:val="32"/>
          <w:lang w:bidi="hi-IN"/>
        </w:rPr>
        <w:t>微观主体和宏观主体的角度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理解</w:t>
      </w:r>
      <w:r>
        <w:rPr>
          <w:rFonts w:ascii="仿宋_GB2312" w:hAnsi="宋体" w:eastAsia="仿宋_GB2312"/>
          <w:sz w:val="32"/>
          <w:szCs w:val="32"/>
          <w:lang w:bidi="hi-IN"/>
        </w:rPr>
        <w:t>投资管理和金融市场监管的问题。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了解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国内外金融市场</w:t>
      </w:r>
      <w:r>
        <w:rPr>
          <w:rFonts w:ascii="仿宋_GB2312" w:hAnsi="宋体" w:eastAsia="仿宋_GB2312"/>
          <w:sz w:val="32"/>
          <w:szCs w:val="32"/>
          <w:lang w:bidi="hi-IN"/>
        </w:rPr>
        <w:t>的现状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及发展趋势</w:t>
      </w:r>
      <w:r>
        <w:rPr>
          <w:rFonts w:ascii="仿宋_GB2312" w:hAnsi="宋体" w:eastAsia="仿宋_GB2312"/>
          <w:sz w:val="32"/>
          <w:szCs w:val="32"/>
          <w:lang w:bidi="hi-IN"/>
        </w:rPr>
        <w:t>，掌握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金融市场运行与管理的基本原理和方法。</w:t>
      </w:r>
    </w:p>
    <w:p>
      <w:pPr>
        <w:spacing w:line="4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4、具有运用金融市场学相关</w:t>
      </w:r>
      <w:r>
        <w:rPr>
          <w:rFonts w:ascii="仿宋_GB2312" w:hAnsi="宋体" w:eastAsia="仿宋_GB2312"/>
          <w:sz w:val="32"/>
          <w:szCs w:val="32"/>
          <w:lang w:bidi="hi-IN"/>
        </w:rPr>
        <w:t>理论解决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金融市场</w:t>
      </w:r>
      <w:r>
        <w:rPr>
          <w:rFonts w:ascii="仿宋_GB2312" w:hAnsi="宋体" w:eastAsia="仿宋_GB2312"/>
          <w:sz w:val="32"/>
          <w:szCs w:val="32"/>
          <w:lang w:bidi="hi-IN"/>
        </w:rPr>
        <w:t>实际问题的能力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●考试内容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基础知识部分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（一）金融市场概述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1、金融市场的概念和功能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2、金融市场的类型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3、金融市场的主体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4、金融市场的趋势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（二）货币市场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1、同业拆借市场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2、回购市场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3、商业票据市场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4、大额可转让定期存单市场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5、短期政府债券市场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6、货币市场共同基金市场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（三）资本市场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1、股票市场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2、债券市场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3、投资基金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4、外汇市场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（四）衍生市场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1、衍生市场概述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2、金融远期市场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3、金融期货市场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4、金融期权市场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5、金融互换市场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机制与定价部分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（一）利率机制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1、利率概述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2、利率水平的决定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3、利率的结构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（二）风险机制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1、金融风险的定义和种类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2、投资收益和风险的衡量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3、证券组合与分散风险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4、风险偏好和无差异曲线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（三）风险资产的定价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1、有效集和最优投资组合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2、最优投资组合的选择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3、资本资产定价模型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4、资本资产定价模型的进一步讨论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5、套利定价模型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6、资产定价模型的实证检验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（四）效率市场假说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1、效率市场假说的定义和分类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2、效率市场假说的理论基础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3、效率市场假说的实证检验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（五）债券价值分析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1、收入资本化法在债券价值分析中的运用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2、债券属性与价值分析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3、债券定价原理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（六）普通股价值分析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1、收入资本化法在普通股价值分析中的运用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2、股息贴现模型之一：零增长模型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3、股息贴现模型之二：不变增长模型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4、股息贴现模型之三：三阶段增长模型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5、股息贴现模型之四：多元增长模型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6、市盈率模型之一：不变增长模型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7、市盈率模型之二：零增长和多元增长模型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8、负债情况下的自由现金流分析法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9、通货膨胀对股票价值评估的影响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 远期和期货的定价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1、远期价格和期货价格的关系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2、无收益资产远期合约的定价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3、支付已知现金收益资产远期合约的定价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4、支付已知收益率资产远期合约定价的一般方法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4、期货价格与现货价格的关系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（八）期权的定价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1、期权价格的特性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2、期权定价的理论基础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3、布莱克——舒尔斯期权定价模型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4、二叉树期权定价模型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主体行为部分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（一）投资行为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1、投资管理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2、投资决策过程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3、积极的投资管理理论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4、投资业绩评估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5、国际环境下的投资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（二）套期保值行为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1、套期保值的基本原理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2、基于远期的套期保值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3、基于期货的套期保值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4、基于期权的套期保值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5、基于互换的套期保值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 套利行为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1、套利的基本原理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2、套利实例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3、套利的局限性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（四）金融市场监管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1、金融市场监管概论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2、金融监管理论依据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3、证券市场监管的基本内容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F84"/>
    <w:multiLevelType w:val="multilevel"/>
    <w:tmpl w:val="66325F84"/>
    <w:lvl w:ilvl="0" w:tentative="0">
      <w:start w:val="1"/>
      <w:numFmt w:val="japaneseCounting"/>
      <w:pStyle w:val="9"/>
      <w:lvlText w:val="（%1）"/>
      <w:lvlJc w:val="left"/>
      <w:pPr>
        <w:tabs>
          <w:tab w:val="left" w:pos="1260"/>
        </w:tabs>
        <w:ind w:left="1260" w:hanging="7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C"/>
    <w:rsid w:val="0000277B"/>
    <w:rsid w:val="00003DF2"/>
    <w:rsid w:val="00004F1F"/>
    <w:rsid w:val="00007763"/>
    <w:rsid w:val="00024A25"/>
    <w:rsid w:val="00027D33"/>
    <w:rsid w:val="00043374"/>
    <w:rsid w:val="00043BA8"/>
    <w:rsid w:val="00045995"/>
    <w:rsid w:val="00057F00"/>
    <w:rsid w:val="00091E07"/>
    <w:rsid w:val="000A7716"/>
    <w:rsid w:val="000B531B"/>
    <w:rsid w:val="000C2C7D"/>
    <w:rsid w:val="000D3388"/>
    <w:rsid w:val="000D730C"/>
    <w:rsid w:val="000E3D09"/>
    <w:rsid w:val="00103DCD"/>
    <w:rsid w:val="00110E5E"/>
    <w:rsid w:val="00111F10"/>
    <w:rsid w:val="00117052"/>
    <w:rsid w:val="001A6321"/>
    <w:rsid w:val="001A782B"/>
    <w:rsid w:val="001B78A6"/>
    <w:rsid w:val="001C06BB"/>
    <w:rsid w:val="001C713A"/>
    <w:rsid w:val="001D6880"/>
    <w:rsid w:val="001D7823"/>
    <w:rsid w:val="001D7FF7"/>
    <w:rsid w:val="001E2954"/>
    <w:rsid w:val="001F0220"/>
    <w:rsid w:val="001F0C81"/>
    <w:rsid w:val="0020408A"/>
    <w:rsid w:val="00207673"/>
    <w:rsid w:val="00274CE1"/>
    <w:rsid w:val="002A5E29"/>
    <w:rsid w:val="002D3A6A"/>
    <w:rsid w:val="002E50FD"/>
    <w:rsid w:val="00303078"/>
    <w:rsid w:val="00304079"/>
    <w:rsid w:val="00311FEA"/>
    <w:rsid w:val="00312A95"/>
    <w:rsid w:val="00320C00"/>
    <w:rsid w:val="00336469"/>
    <w:rsid w:val="0036682C"/>
    <w:rsid w:val="003742C1"/>
    <w:rsid w:val="00376752"/>
    <w:rsid w:val="003A1A62"/>
    <w:rsid w:val="003B5135"/>
    <w:rsid w:val="003C5973"/>
    <w:rsid w:val="0041538C"/>
    <w:rsid w:val="004202F8"/>
    <w:rsid w:val="00423489"/>
    <w:rsid w:val="00457092"/>
    <w:rsid w:val="00464B64"/>
    <w:rsid w:val="0048786D"/>
    <w:rsid w:val="00492AEE"/>
    <w:rsid w:val="004E569B"/>
    <w:rsid w:val="00511693"/>
    <w:rsid w:val="00551BD1"/>
    <w:rsid w:val="0055635D"/>
    <w:rsid w:val="00557655"/>
    <w:rsid w:val="005802D7"/>
    <w:rsid w:val="005B1224"/>
    <w:rsid w:val="005C15CD"/>
    <w:rsid w:val="005D3FCD"/>
    <w:rsid w:val="00627315"/>
    <w:rsid w:val="00633DE2"/>
    <w:rsid w:val="00660CEB"/>
    <w:rsid w:val="00667E44"/>
    <w:rsid w:val="0068455C"/>
    <w:rsid w:val="006B57EE"/>
    <w:rsid w:val="006E7947"/>
    <w:rsid w:val="007049F2"/>
    <w:rsid w:val="00761ECD"/>
    <w:rsid w:val="00786E08"/>
    <w:rsid w:val="00790F48"/>
    <w:rsid w:val="007B0186"/>
    <w:rsid w:val="007C4BDB"/>
    <w:rsid w:val="007C512D"/>
    <w:rsid w:val="007E1DC1"/>
    <w:rsid w:val="0081411F"/>
    <w:rsid w:val="00816636"/>
    <w:rsid w:val="008208C8"/>
    <w:rsid w:val="00835CA5"/>
    <w:rsid w:val="008505A7"/>
    <w:rsid w:val="00850F18"/>
    <w:rsid w:val="00851519"/>
    <w:rsid w:val="008670BE"/>
    <w:rsid w:val="008A0AEB"/>
    <w:rsid w:val="008A6B52"/>
    <w:rsid w:val="008C6BDA"/>
    <w:rsid w:val="008E7AFB"/>
    <w:rsid w:val="008F0714"/>
    <w:rsid w:val="00922F63"/>
    <w:rsid w:val="009248A5"/>
    <w:rsid w:val="00926D7E"/>
    <w:rsid w:val="00940E47"/>
    <w:rsid w:val="00971CD3"/>
    <w:rsid w:val="0097476A"/>
    <w:rsid w:val="00997F98"/>
    <w:rsid w:val="009B2D64"/>
    <w:rsid w:val="00A1294B"/>
    <w:rsid w:val="00A20661"/>
    <w:rsid w:val="00A42838"/>
    <w:rsid w:val="00A9159C"/>
    <w:rsid w:val="00AA1F7F"/>
    <w:rsid w:val="00AE4996"/>
    <w:rsid w:val="00B273C6"/>
    <w:rsid w:val="00B43B02"/>
    <w:rsid w:val="00B44220"/>
    <w:rsid w:val="00B50441"/>
    <w:rsid w:val="00B577F1"/>
    <w:rsid w:val="00B913CB"/>
    <w:rsid w:val="00BC2B82"/>
    <w:rsid w:val="00BC4ED8"/>
    <w:rsid w:val="00BD32E4"/>
    <w:rsid w:val="00BE2C0C"/>
    <w:rsid w:val="00BE65EE"/>
    <w:rsid w:val="00C12D73"/>
    <w:rsid w:val="00C300D0"/>
    <w:rsid w:val="00C35939"/>
    <w:rsid w:val="00C563C6"/>
    <w:rsid w:val="00C5679A"/>
    <w:rsid w:val="00C7251D"/>
    <w:rsid w:val="00C75572"/>
    <w:rsid w:val="00C8008C"/>
    <w:rsid w:val="00C82270"/>
    <w:rsid w:val="00C95410"/>
    <w:rsid w:val="00CE1C3D"/>
    <w:rsid w:val="00D33CC4"/>
    <w:rsid w:val="00D73158"/>
    <w:rsid w:val="00D8727E"/>
    <w:rsid w:val="00D95F7A"/>
    <w:rsid w:val="00DA4AB5"/>
    <w:rsid w:val="00DB5EE9"/>
    <w:rsid w:val="00DE0C8B"/>
    <w:rsid w:val="00DF2AE8"/>
    <w:rsid w:val="00E131B5"/>
    <w:rsid w:val="00E22E33"/>
    <w:rsid w:val="00E32C48"/>
    <w:rsid w:val="00E41515"/>
    <w:rsid w:val="00EC02D3"/>
    <w:rsid w:val="00EC5BB8"/>
    <w:rsid w:val="00EC6165"/>
    <w:rsid w:val="00ED27AE"/>
    <w:rsid w:val="00ED3CC3"/>
    <w:rsid w:val="00EE2CCD"/>
    <w:rsid w:val="00EF27A4"/>
    <w:rsid w:val="00EF437D"/>
    <w:rsid w:val="00EF7EF3"/>
    <w:rsid w:val="00F12667"/>
    <w:rsid w:val="00F220AE"/>
    <w:rsid w:val="00F226CB"/>
    <w:rsid w:val="00F27505"/>
    <w:rsid w:val="00F859D4"/>
    <w:rsid w:val="00FD1F27"/>
    <w:rsid w:val="00FE082D"/>
    <w:rsid w:val="2B337E83"/>
    <w:rsid w:val="3A9B647A"/>
    <w:rsid w:val="3D3D682B"/>
    <w:rsid w:val="447F6C96"/>
    <w:rsid w:val="453827BF"/>
    <w:rsid w:val="56647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after="240" w:line="520" w:lineRule="atLeast"/>
      <w:ind w:left="680"/>
      <w:jc w:val="center"/>
      <w:outlineLvl w:val="0"/>
    </w:pPr>
    <w:rPr>
      <w:rFonts w:ascii="Times New Roman" w:hAnsi="Times New Roman"/>
      <w:b/>
      <w:kern w:val="44"/>
      <w:sz w:val="44"/>
      <w:szCs w:val="20"/>
      <w:lang/>
    </w:rPr>
  </w:style>
  <w:style w:type="paragraph" w:styleId="3">
    <w:name w:val="heading 2"/>
    <w:basedOn w:val="1"/>
    <w:next w:val="4"/>
    <w:qFormat/>
    <w:uiPriority w:val="0"/>
    <w:pPr>
      <w:keepNext/>
      <w:keepLines/>
      <w:snapToGrid w:val="0"/>
      <w:spacing w:before="240" w:after="240" w:line="240" w:lineRule="atLeast"/>
      <w:ind w:left="680"/>
      <w:jc w:val="center"/>
      <w:outlineLvl w:val="1"/>
    </w:pPr>
    <w:rPr>
      <w:rFonts w:ascii="Arial" w:hAnsi="Arial" w:eastAsia="黑体"/>
      <w:b/>
      <w:sz w:val="32"/>
      <w:szCs w:val="20"/>
      <w:lang/>
    </w:rPr>
  </w:style>
  <w:style w:type="paragraph" w:styleId="5">
    <w:name w:val="heading 3"/>
    <w:basedOn w:val="1"/>
    <w:next w:val="4"/>
    <w:qFormat/>
    <w:uiPriority w:val="0"/>
    <w:pPr>
      <w:keepNext/>
      <w:keepLines/>
      <w:snapToGrid w:val="0"/>
      <w:spacing w:after="0" w:line="240" w:lineRule="atLeast"/>
      <w:ind w:left="397"/>
      <w:outlineLvl w:val="2"/>
    </w:pPr>
    <w:rPr>
      <w:rFonts w:ascii="Times New Roman" w:hAnsi="Times New Roman"/>
      <w:b/>
      <w:sz w:val="21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snapToGrid w:val="0"/>
      <w:spacing w:after="0" w:line="240" w:lineRule="atLeast"/>
      <w:ind w:left="680" w:firstLine="420"/>
    </w:pPr>
    <w:rPr>
      <w:rFonts w:ascii="Times New Roman" w:hAnsi="Times New Roman"/>
      <w:sz w:val="21"/>
      <w:szCs w:val="20"/>
      <w:lang/>
    </w:rPr>
  </w:style>
  <w:style w:type="paragraph" w:styleId="6">
    <w:name w:val="Body Text Indent"/>
    <w:basedOn w:val="1"/>
    <w:uiPriority w:val="0"/>
    <w:pPr>
      <w:widowControl w:val="0"/>
      <w:spacing w:after="0" w:line="240" w:lineRule="auto"/>
      <w:ind w:left="60" w:firstLine="780"/>
      <w:jc w:val="both"/>
    </w:pPr>
    <w:rPr>
      <w:rFonts w:ascii="Times New Roman" w:hAnsi="Times New Roman"/>
      <w:kern w:val="2"/>
      <w:sz w:val="28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widowControl w:val="0"/>
      <w:numPr>
        <w:ilvl w:val="0"/>
        <w:numId w:val="1"/>
      </w:numPr>
      <w:spacing w:after="0" w:line="240" w:lineRule="auto"/>
      <w:jc w:val="both"/>
    </w:pPr>
    <w:rPr>
      <w:rFonts w:ascii="宋体" w:hAnsi="宋体"/>
      <w:kern w:val="2"/>
      <w:sz w:val="21"/>
      <w:szCs w:val="24"/>
    </w:rPr>
  </w:style>
  <w:style w:type="paragraph" w:styleId="10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2018-07-03T02:03:00Z</dcterms:created>
  <dc:creator>微软用户</dc:creator>
  <cp:lastModifiedBy>vertesyuan</cp:lastModifiedBy>
  <dcterms:modified xsi:type="dcterms:W3CDTF">2021-11-26T10:56:00Z</dcterms:modified>
  <dc:title>2014年硕士研究生入学考试自命题考试大纲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9AA8137489CD4FD293F0625E6A356EC2</vt:lpwstr>
  </property>
</Properties>
</file>