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b/>
          <w:szCs w:val="21"/>
        </w:rPr>
      </w:pPr>
      <w:bookmarkStart w:id="0" w:name="_GoBack"/>
      <w:bookmarkEnd w:id="0"/>
      <w:r>
        <w:rPr>
          <w:rFonts w:ascii="宋体" w:hAnsi="宋体"/>
          <w:b/>
          <w:szCs w:val="21"/>
        </w:rPr>
        <w:t>一、名词解释（每道题6分，5道题，共30分）</w:t>
      </w:r>
    </w:p>
    <w:p>
      <w:pPr>
        <w:pStyle w:val="20"/>
        <w:numPr>
          <w:ilvl w:val="0"/>
          <w:numId w:val="1"/>
        </w:numPr>
        <w:ind w:firstLineChars="0"/>
        <w:rPr>
          <w:rFonts w:ascii="宋体" w:hAnsi="宋体" w:eastAsia="宋体"/>
          <w:szCs w:val="21"/>
        </w:rPr>
      </w:pPr>
      <w:r>
        <w:rPr>
          <w:rFonts w:hint="eastAsia" w:ascii="宋体" w:hAnsi="宋体" w:eastAsia="宋体"/>
          <w:szCs w:val="21"/>
        </w:rPr>
        <w:t>领导</w:t>
      </w:r>
    </w:p>
    <w:p>
      <w:pPr>
        <w:pStyle w:val="20"/>
        <w:numPr>
          <w:ilvl w:val="0"/>
          <w:numId w:val="1"/>
        </w:numPr>
        <w:ind w:firstLineChars="0"/>
        <w:rPr>
          <w:rFonts w:ascii="宋体" w:hAnsi="宋体" w:eastAsia="宋体"/>
          <w:szCs w:val="21"/>
        </w:rPr>
      </w:pPr>
      <w:r>
        <w:rPr>
          <w:rFonts w:hint="eastAsia" w:ascii="宋体" w:hAnsi="宋体" w:eastAsia="宋体"/>
          <w:szCs w:val="21"/>
        </w:rPr>
        <w:t>组织结构</w:t>
      </w:r>
    </w:p>
    <w:p>
      <w:pPr>
        <w:pStyle w:val="20"/>
        <w:numPr>
          <w:ilvl w:val="0"/>
          <w:numId w:val="1"/>
        </w:numPr>
        <w:ind w:firstLineChars="0"/>
        <w:rPr>
          <w:rFonts w:ascii="宋体" w:hAnsi="宋体" w:eastAsia="宋体"/>
          <w:szCs w:val="21"/>
        </w:rPr>
      </w:pPr>
      <w:r>
        <w:rPr>
          <w:rFonts w:hint="eastAsia" w:ascii="宋体" w:hAnsi="宋体" w:eastAsia="宋体"/>
          <w:szCs w:val="21"/>
        </w:rPr>
        <w:t>管理跨度</w:t>
      </w:r>
    </w:p>
    <w:p>
      <w:pPr>
        <w:pStyle w:val="20"/>
        <w:numPr>
          <w:ilvl w:val="0"/>
          <w:numId w:val="1"/>
        </w:numPr>
        <w:ind w:firstLineChars="0"/>
        <w:rPr>
          <w:rFonts w:ascii="宋体" w:hAnsi="宋体" w:eastAsia="宋体"/>
          <w:szCs w:val="21"/>
        </w:rPr>
      </w:pPr>
      <w:r>
        <w:rPr>
          <w:rFonts w:hint="eastAsia" w:ascii="宋体" w:hAnsi="宋体" w:eastAsia="宋体"/>
          <w:szCs w:val="21"/>
        </w:rPr>
        <w:t>集权和分权</w:t>
      </w:r>
    </w:p>
    <w:p>
      <w:pPr>
        <w:pStyle w:val="20"/>
        <w:numPr>
          <w:ilvl w:val="0"/>
          <w:numId w:val="1"/>
        </w:numPr>
        <w:ind w:firstLineChars="0"/>
        <w:rPr>
          <w:rFonts w:ascii="宋体" w:hAnsi="宋体" w:eastAsia="宋体"/>
          <w:szCs w:val="21"/>
        </w:rPr>
      </w:pPr>
      <w:r>
        <w:rPr>
          <w:rFonts w:hint="eastAsia" w:ascii="宋体" w:hAnsi="宋体" w:eastAsia="宋体"/>
          <w:szCs w:val="21"/>
        </w:rPr>
        <w:t>非正式沟通</w:t>
      </w:r>
    </w:p>
    <w:p>
      <w:pPr>
        <w:rPr>
          <w:rFonts w:hint="eastAsia"/>
        </w:rPr>
      </w:pPr>
    </w:p>
    <w:p>
      <w:pPr>
        <w:spacing w:line="360" w:lineRule="auto"/>
        <w:rPr>
          <w:rFonts w:hint="eastAsia" w:ascii="宋体" w:hAnsi="宋体"/>
          <w:b/>
          <w:szCs w:val="21"/>
        </w:rPr>
      </w:pPr>
      <w:r>
        <w:rPr>
          <w:rFonts w:hint="eastAsia"/>
        </w:rPr>
        <w:t>二、</w:t>
      </w:r>
      <w:r>
        <w:rPr>
          <w:rFonts w:ascii="宋体" w:hAnsi="宋体"/>
          <w:b/>
          <w:szCs w:val="21"/>
        </w:rPr>
        <w:t>简答题（每道题10分，3道题，共30分）</w:t>
      </w:r>
    </w:p>
    <w:p>
      <w:pPr>
        <w:pStyle w:val="20"/>
        <w:numPr>
          <w:ilvl w:val="0"/>
          <w:numId w:val="2"/>
        </w:numPr>
        <w:ind w:firstLineChars="0"/>
        <w:rPr>
          <w:rFonts w:ascii="宋体" w:hAnsi="宋体" w:eastAsia="宋体"/>
          <w:szCs w:val="21"/>
        </w:rPr>
      </w:pPr>
      <w:r>
        <w:rPr>
          <w:rFonts w:ascii="宋体" w:hAnsi="宋体" w:eastAsia="宋体"/>
          <w:szCs w:val="21"/>
        </w:rPr>
        <w:t>简述</w:t>
      </w:r>
      <w:r>
        <w:rPr>
          <w:rFonts w:hint="eastAsia" w:ascii="宋体" w:hAnsi="宋体" w:eastAsia="宋体"/>
          <w:szCs w:val="21"/>
        </w:rPr>
        <w:t>管理权变理论</w:t>
      </w:r>
      <w:r>
        <w:rPr>
          <w:rFonts w:ascii="宋体" w:hAnsi="宋体" w:eastAsia="宋体"/>
          <w:szCs w:val="21"/>
        </w:rPr>
        <w:t>。</w:t>
      </w:r>
    </w:p>
    <w:p>
      <w:pPr>
        <w:pStyle w:val="20"/>
        <w:numPr>
          <w:ilvl w:val="0"/>
          <w:numId w:val="2"/>
        </w:numPr>
        <w:ind w:firstLineChars="0"/>
        <w:rPr>
          <w:rFonts w:ascii="宋体" w:hAnsi="宋体" w:eastAsia="宋体"/>
          <w:szCs w:val="21"/>
        </w:rPr>
      </w:pPr>
      <w:r>
        <w:rPr>
          <w:rFonts w:hint="eastAsia" w:ascii="宋体" w:hAnsi="宋体" w:eastAsia="宋体"/>
          <w:szCs w:val="21"/>
        </w:rPr>
        <w:t>简述强化理论。</w:t>
      </w:r>
    </w:p>
    <w:p>
      <w:pPr>
        <w:pStyle w:val="20"/>
        <w:numPr>
          <w:ilvl w:val="0"/>
          <w:numId w:val="2"/>
        </w:numPr>
        <w:ind w:firstLineChars="0"/>
        <w:rPr>
          <w:rFonts w:ascii="宋体" w:hAnsi="宋体" w:eastAsia="宋体"/>
          <w:szCs w:val="21"/>
        </w:rPr>
      </w:pPr>
      <w:r>
        <w:rPr>
          <w:rFonts w:hint="eastAsia" w:ascii="宋体" w:hAnsi="宋体" w:eastAsia="宋体"/>
          <w:szCs w:val="21"/>
        </w:rPr>
        <w:t>简述控制与计划的关系。</w:t>
      </w:r>
    </w:p>
    <w:p>
      <w:pPr>
        <w:rPr>
          <w:rFonts w:hint="eastAsia"/>
        </w:rPr>
      </w:pPr>
    </w:p>
    <w:p>
      <w:pPr>
        <w:spacing w:line="360" w:lineRule="auto"/>
        <w:rPr>
          <w:rFonts w:hint="eastAsia" w:ascii="宋体" w:hAnsi="宋体"/>
          <w:b/>
          <w:szCs w:val="21"/>
        </w:rPr>
      </w:pPr>
      <w:r>
        <w:rPr>
          <w:rFonts w:hint="eastAsia" w:ascii="宋体" w:hAnsi="宋体"/>
          <w:b/>
          <w:szCs w:val="21"/>
        </w:rPr>
        <w:t>三、论述题（</w:t>
      </w:r>
      <w:r>
        <w:rPr>
          <w:rFonts w:ascii="宋体" w:hAnsi="宋体"/>
          <w:b/>
          <w:szCs w:val="21"/>
        </w:rPr>
        <w:t>每道题20分，2道题，共40分</w:t>
      </w:r>
      <w:r>
        <w:rPr>
          <w:rFonts w:hint="eastAsia" w:ascii="宋体" w:hAnsi="宋体"/>
          <w:b/>
          <w:szCs w:val="21"/>
        </w:rPr>
        <w:t>）</w:t>
      </w:r>
    </w:p>
    <w:p>
      <w:pPr>
        <w:pStyle w:val="20"/>
        <w:numPr>
          <w:ilvl w:val="0"/>
          <w:numId w:val="3"/>
        </w:numPr>
        <w:ind w:firstLineChars="0"/>
        <w:rPr>
          <w:rFonts w:ascii="宋体" w:hAnsi="宋体" w:eastAsia="宋体"/>
          <w:szCs w:val="21"/>
        </w:rPr>
      </w:pPr>
      <w:r>
        <w:rPr>
          <w:rFonts w:hint="eastAsia" w:ascii="宋体" w:hAnsi="宋体" w:eastAsia="宋体"/>
          <w:szCs w:val="21"/>
        </w:rPr>
        <w:t>解释“管理的普遍性”的概念。在今天，是否仍然如此？为什么？</w:t>
      </w:r>
    </w:p>
    <w:p>
      <w:pPr>
        <w:pStyle w:val="20"/>
        <w:numPr>
          <w:ilvl w:val="0"/>
          <w:numId w:val="3"/>
        </w:numPr>
        <w:ind w:firstLineChars="0"/>
        <w:rPr>
          <w:rFonts w:ascii="宋体" w:hAnsi="宋体" w:eastAsia="宋体"/>
          <w:szCs w:val="21"/>
        </w:rPr>
      </w:pPr>
      <w:r>
        <w:rPr>
          <w:rFonts w:hint="eastAsia" w:ascii="宋体" w:hAnsi="宋体" w:eastAsia="宋体"/>
          <w:szCs w:val="21"/>
        </w:rPr>
        <w:t>论述</w:t>
      </w:r>
      <w:r>
        <w:rPr>
          <w:rFonts w:ascii="宋体" w:hAnsi="宋体" w:eastAsia="宋体"/>
          <w:szCs w:val="21"/>
        </w:rPr>
        <w:t>霍桑研究在管理史上</w:t>
      </w:r>
      <w:r>
        <w:rPr>
          <w:rFonts w:hint="eastAsia" w:ascii="宋体" w:hAnsi="宋体" w:eastAsia="宋体"/>
          <w:szCs w:val="21"/>
        </w:rPr>
        <w:t>的价值。</w:t>
      </w:r>
    </w:p>
    <w:p>
      <w:pPr>
        <w:spacing w:line="360" w:lineRule="auto"/>
        <w:rPr>
          <w:rFonts w:ascii="宋体" w:hAnsi="宋体"/>
          <w:b/>
          <w:szCs w:val="21"/>
        </w:rPr>
      </w:pPr>
    </w:p>
    <w:p>
      <w:pPr>
        <w:spacing w:line="360" w:lineRule="auto"/>
        <w:rPr>
          <w:rFonts w:ascii="宋体" w:hAnsi="宋体"/>
          <w:b/>
          <w:szCs w:val="21"/>
        </w:rPr>
      </w:pPr>
      <w:r>
        <w:rPr>
          <w:rFonts w:ascii="宋体" w:hAnsi="宋体"/>
          <w:b/>
          <w:szCs w:val="21"/>
        </w:rPr>
        <w:t>四、案例分析题（每个案例25分，2个案例，共50分）</w:t>
      </w:r>
    </w:p>
    <w:p>
      <w:pPr>
        <w:spacing w:line="276" w:lineRule="auto"/>
        <w:rPr>
          <w:rFonts w:ascii="宋体" w:hAnsi="宋体"/>
          <w:b/>
          <w:bCs/>
          <w:sz w:val="21"/>
          <w:szCs w:val="21"/>
        </w:rPr>
      </w:pPr>
      <w:r>
        <w:rPr>
          <w:rFonts w:ascii="宋体" w:hAnsi="宋体"/>
          <w:b/>
          <w:bCs/>
          <w:sz w:val="21"/>
          <w:szCs w:val="21"/>
        </w:rPr>
        <w:t>案例</w:t>
      </w:r>
      <w:r>
        <w:rPr>
          <w:rFonts w:hint="eastAsia" w:ascii="宋体" w:hAnsi="宋体"/>
          <w:b/>
          <w:bCs/>
          <w:sz w:val="21"/>
          <w:szCs w:val="21"/>
        </w:rPr>
        <w:t>1：</w:t>
      </w:r>
    </w:p>
    <w:p>
      <w:pPr>
        <w:pStyle w:val="7"/>
        <w:spacing w:before="0" w:beforeAutospacing="0" w:after="0" w:afterAutospacing="0" w:line="276" w:lineRule="auto"/>
        <w:ind w:firstLine="420" w:firstLineChars="200"/>
        <w:jc w:val="both"/>
        <w:rPr>
          <w:color w:val="000000"/>
          <w:sz w:val="21"/>
          <w:szCs w:val="21"/>
        </w:rPr>
      </w:pPr>
      <w:r>
        <w:rPr>
          <w:color w:val="000000"/>
          <w:sz w:val="21"/>
          <w:szCs w:val="21"/>
        </w:rPr>
        <w:t>关停、人事地震……杂志业界总是传来坏消息，但日本出版社“晋游社”却在不断挑战这个行业一直以来的生意模式，并不断创刊新杂志。</w:t>
      </w:r>
    </w:p>
    <w:p>
      <w:pPr>
        <w:pStyle w:val="7"/>
        <w:spacing w:before="0" w:beforeAutospacing="0" w:after="0" w:afterAutospacing="0" w:line="276" w:lineRule="auto"/>
        <w:ind w:firstLine="420" w:firstLineChars="200"/>
        <w:jc w:val="both"/>
        <w:rPr>
          <w:color w:val="000000"/>
          <w:sz w:val="21"/>
          <w:szCs w:val="21"/>
        </w:rPr>
      </w:pPr>
      <w:r>
        <w:rPr>
          <w:color w:val="000000"/>
          <w:sz w:val="21"/>
          <w:szCs w:val="21"/>
        </w:rPr>
        <w:t>自从2009年起，晋游社陆续创办了4册测评杂志—面向男性读者的《MONOQLO》</w:t>
      </w:r>
      <w:r>
        <w:rPr>
          <w:rFonts w:hint="eastAsia"/>
          <w:color w:val="000000"/>
          <w:sz w:val="21"/>
          <w:szCs w:val="21"/>
        </w:rPr>
        <w:t>、</w:t>
      </w:r>
      <w:r>
        <w:rPr>
          <w:color w:val="000000"/>
          <w:sz w:val="21"/>
          <w:szCs w:val="21"/>
        </w:rPr>
        <w:t>《家电批评》</w:t>
      </w:r>
      <w:r>
        <w:rPr>
          <w:rFonts w:hint="eastAsia"/>
          <w:color w:val="000000"/>
          <w:sz w:val="21"/>
          <w:szCs w:val="21"/>
        </w:rPr>
        <w:t>、</w:t>
      </w:r>
      <w:r>
        <w:rPr>
          <w:color w:val="000000"/>
          <w:sz w:val="21"/>
          <w:szCs w:val="21"/>
        </w:rPr>
        <w:t>《LDK》</w:t>
      </w:r>
      <w:r>
        <w:rPr>
          <w:rFonts w:hint="eastAsia"/>
          <w:color w:val="000000"/>
          <w:sz w:val="21"/>
          <w:szCs w:val="21"/>
        </w:rPr>
        <w:t>、</w:t>
      </w:r>
      <w:r>
        <w:rPr>
          <w:color w:val="000000"/>
          <w:sz w:val="21"/>
          <w:szCs w:val="21"/>
        </w:rPr>
        <w:t>《LDK the Beauty》，这些杂志的实销率（实际销售数除以发行量）都超过60%。截至2017年9月，其中发行量最高、以30岁女性为主要读者、刊登生活用品评测的《LDK》单期发行量已有21万册，是2012年创刊时的3倍以上，它的实销率甚至达到七八成。在日本杂志市场，杂志的实销率一般在三四成，5成为损益点，达到6成则意味着可以靠发行盈利。</w:t>
      </w:r>
    </w:p>
    <w:p>
      <w:pPr>
        <w:pStyle w:val="7"/>
        <w:spacing w:before="0" w:beforeAutospacing="0" w:after="0" w:afterAutospacing="0" w:line="276" w:lineRule="auto"/>
        <w:ind w:firstLine="420" w:firstLineChars="200"/>
        <w:jc w:val="both"/>
        <w:rPr>
          <w:color w:val="000000"/>
          <w:sz w:val="21"/>
          <w:szCs w:val="21"/>
        </w:rPr>
      </w:pPr>
      <w:r>
        <w:rPr>
          <w:color w:val="000000"/>
          <w:sz w:val="21"/>
          <w:szCs w:val="21"/>
        </w:rPr>
        <w:t>在某种程度上，它们为人们的“商品选择困难症”提供了决策依据，编辑部会自主采购或向制造公司们借用商品，“客观度”是其最重要的信任来源。基本上，根据产品性能，这些杂志通过编辑部内部、专业人士或第三方评测机构等不同方式予以评测，像化妆品这类产品，更倾向于刊发客观性能数据；日用品这类难以量化效果的产品，它们更倾向于总结编辑与专业人士的使用经验。</w:t>
      </w:r>
    </w:p>
    <w:p>
      <w:pPr>
        <w:pStyle w:val="7"/>
        <w:spacing w:before="0" w:beforeAutospacing="0" w:after="0" w:afterAutospacing="0" w:line="276" w:lineRule="auto"/>
        <w:ind w:firstLine="420" w:firstLineChars="200"/>
        <w:jc w:val="both"/>
        <w:rPr>
          <w:color w:val="000000"/>
          <w:sz w:val="21"/>
          <w:szCs w:val="21"/>
        </w:rPr>
      </w:pPr>
      <w:r>
        <w:rPr>
          <w:color w:val="000000"/>
          <w:sz w:val="21"/>
          <w:szCs w:val="21"/>
        </w:rPr>
        <w:t>这些杂志的测验项目一般为3到5项，其中又含有不同细分顶目—比如精华液产品，“使用感”项目之下包括了气味、涂抹后的粘稠感、涂抹时的感觉；“保湿力”项目需要测试不同肤质试涂后，用仪器测试10分钟后与3小时后肌肤水分含量的数值；在“成分”项目里，编辑部会向专业人士询问成分的合理度，以及检测是否真正含有商品宣称的效果的成分。最终，商品会被分为A级至D级4个推荐等级，得到A级评价的产品中，评价最高的商品会标注“best buy”标签，D级评价则意味着“不推荐购买”。</w:t>
      </w:r>
    </w:p>
    <w:p>
      <w:pPr>
        <w:pStyle w:val="7"/>
        <w:spacing w:before="0" w:beforeAutospacing="0" w:after="0" w:afterAutospacing="0" w:line="276" w:lineRule="auto"/>
        <w:ind w:firstLine="420" w:firstLineChars="200"/>
        <w:jc w:val="both"/>
        <w:rPr>
          <w:color w:val="000000"/>
          <w:sz w:val="21"/>
          <w:szCs w:val="21"/>
        </w:rPr>
      </w:pPr>
      <w:r>
        <w:rPr>
          <w:color w:val="000000"/>
          <w:sz w:val="21"/>
          <w:szCs w:val="21"/>
        </w:rPr>
        <w:t>这几本杂志都拒绝刊登广告，正因如此，它们获得了较大自由度—能用客观、易读、有趣的方式撰写测评，而不用顾虑厂商们的意见。但为了与“同人志”类出版物区分，其封二、封底会刊登主编们认可的免费广告。晋游社社长西尾崇彦表示，即便是负面评价，也尽量避免吹毛求疵、只刊登客观事实。被刊登“负评”的厂商们不会专门跑来抱怨，但有时也会通过熟人嘟囔“别擅自测评”。但编辑们觉得，这些评价应成为厂商们改进产品的动力。</w:t>
      </w:r>
    </w:p>
    <w:p>
      <w:pPr>
        <w:pStyle w:val="7"/>
        <w:spacing w:before="0" w:beforeAutospacing="0" w:after="0" w:afterAutospacing="0" w:line="276" w:lineRule="auto"/>
        <w:ind w:firstLine="420" w:firstLineChars="200"/>
        <w:jc w:val="both"/>
        <w:rPr>
          <w:color w:val="000000"/>
          <w:sz w:val="21"/>
          <w:szCs w:val="21"/>
        </w:rPr>
      </w:pPr>
      <w:r>
        <w:rPr>
          <w:color w:val="000000"/>
          <w:sz w:val="21"/>
          <w:szCs w:val="21"/>
        </w:rPr>
        <w:t>编辑部会自费购买日用品、化妆品用于测评，有时一篇测评文章的商品采购费用就需要100万日元（约合6万元人民币），这同时也成为杂志的know-how之一—</w:t>
      </w:r>
      <w:r>
        <w:rPr>
          <w:rFonts w:hint="eastAsia"/>
          <w:color w:val="000000"/>
          <w:sz w:val="21"/>
          <w:szCs w:val="21"/>
        </w:rPr>
        <w:t>采购</w:t>
      </w:r>
      <w:r>
        <w:rPr>
          <w:color w:val="000000"/>
          <w:sz w:val="21"/>
          <w:szCs w:val="21"/>
        </w:rPr>
        <w:t>成本也成为模仿者的门槛。对杂志本身而言，这些信息的价值并非“保质期一个月”，因此，这也能让晋游社通过同样内容的再编辑、Mook化（magazine+book的集合体，使用杂志性质的内容，却没有时间限制）长期销售获得第二轮收益—而且利润率更高。</w:t>
      </w:r>
    </w:p>
    <w:p>
      <w:pPr>
        <w:pStyle w:val="7"/>
        <w:spacing w:before="0" w:beforeAutospacing="0" w:after="0" w:afterAutospacing="0" w:line="276" w:lineRule="auto"/>
        <w:ind w:firstLine="420" w:firstLineChars="200"/>
        <w:jc w:val="both"/>
        <w:rPr>
          <w:color w:val="000000"/>
          <w:sz w:val="21"/>
          <w:szCs w:val="21"/>
        </w:rPr>
      </w:pPr>
      <w:r>
        <w:rPr>
          <w:color w:val="000000"/>
          <w:sz w:val="21"/>
          <w:szCs w:val="21"/>
        </w:rPr>
        <w:t>至于那些单价较高的产品，比如家电类，编辑部会向厂商们申请借用来完成测评。至于那些买回的商品—家电类产品会成为给读者们的奖品与赠品，服装、化妆品在测评完成后就会被丢掉，西尾崇彦严禁公司员工将这些完成测评的产品带回家，因为“一旦开始就再也收不住”。</w:t>
      </w:r>
    </w:p>
    <w:p>
      <w:pPr>
        <w:pStyle w:val="7"/>
        <w:spacing w:before="0" w:beforeAutospacing="0" w:after="0" w:afterAutospacing="0" w:line="276" w:lineRule="auto"/>
        <w:ind w:firstLine="420" w:firstLineChars="200"/>
        <w:jc w:val="both"/>
        <w:rPr>
          <w:color w:val="000000"/>
          <w:sz w:val="21"/>
          <w:szCs w:val="21"/>
        </w:rPr>
      </w:pPr>
      <w:r>
        <w:rPr>
          <w:color w:val="000000"/>
          <w:sz w:val="21"/>
          <w:szCs w:val="21"/>
        </w:rPr>
        <w:t>晋游社在2016年10月开始在网络端尝试。它整合4本测评杂志，推出了一个名为360.life的网站—这个网站并非杂志内容的翻版，而是将已经报道的内容，重新整合到“家电”“文具”“厨房杂货”等类似亚马逊购物种类一样的分类之下，将它们编辑成更轻松、更容易阅读的形式，以便在网络上传播。这些文章被重新编辑，加上“选品方式”“便宜好用”“好主意”等不同标签，每天都会持续更新。如果涉及测评信息，网络端的文章会加上测评时点信息，辅助读者判断。</w:t>
      </w:r>
    </w:p>
    <w:p>
      <w:pPr>
        <w:pStyle w:val="7"/>
        <w:spacing w:before="0" w:beforeAutospacing="0" w:after="0" w:afterAutospacing="0" w:line="276" w:lineRule="auto"/>
        <w:ind w:firstLine="420" w:firstLineChars="200"/>
        <w:jc w:val="both"/>
        <w:rPr>
          <w:color w:val="000000"/>
          <w:sz w:val="21"/>
          <w:szCs w:val="21"/>
        </w:rPr>
      </w:pPr>
      <w:r>
        <w:rPr>
          <w:color w:val="000000"/>
          <w:sz w:val="21"/>
          <w:szCs w:val="21"/>
        </w:rPr>
        <w:t>它也运用了“联盟营销”的概念，在推荐商品时加入亚马逊或官网等购买链接。西尾崇彦认为这是满足读者需求的手段，而且，为了避免直接被归为“广告”，他规定报道刊登两周后才能加上购买链接。</w:t>
      </w:r>
    </w:p>
    <w:p>
      <w:pPr>
        <w:pStyle w:val="7"/>
        <w:spacing w:before="0" w:beforeAutospacing="0" w:after="0" w:afterAutospacing="0" w:line="276" w:lineRule="auto"/>
        <w:ind w:firstLine="420" w:firstLineChars="200"/>
        <w:jc w:val="both"/>
        <w:rPr>
          <w:rFonts w:hint="eastAsia"/>
          <w:color w:val="000000"/>
          <w:sz w:val="21"/>
          <w:szCs w:val="21"/>
        </w:rPr>
      </w:pPr>
      <w:r>
        <w:rPr>
          <w:color w:val="000000"/>
          <w:sz w:val="21"/>
          <w:szCs w:val="21"/>
        </w:rPr>
        <w:t>这些测评杂志将推出化妆品测评大奖与数据服务的日本化妆品点评网站cosme看作竞争对手，它们面向类似的消费者，但拥有完全不同的盈利模式。</w:t>
      </w:r>
    </w:p>
    <w:p>
      <w:pPr>
        <w:pStyle w:val="7"/>
        <w:spacing w:before="0" w:beforeAutospacing="0" w:after="0" w:afterAutospacing="0" w:line="276" w:lineRule="auto"/>
        <w:ind w:firstLine="420" w:firstLineChars="200"/>
        <w:jc w:val="both"/>
        <w:rPr>
          <w:color w:val="000000"/>
          <w:sz w:val="21"/>
          <w:szCs w:val="21"/>
        </w:rPr>
      </w:pPr>
      <w:r>
        <w:rPr>
          <w:rFonts w:hint="eastAsia"/>
          <w:color w:val="000000"/>
          <w:sz w:val="21"/>
          <w:szCs w:val="21"/>
        </w:rPr>
        <w:t>问题分析：</w:t>
      </w:r>
    </w:p>
    <w:p>
      <w:pPr>
        <w:pStyle w:val="20"/>
        <w:numPr>
          <w:ilvl w:val="0"/>
          <w:numId w:val="4"/>
        </w:numPr>
        <w:ind w:firstLineChars="0"/>
        <w:rPr>
          <w:rFonts w:ascii="宋体" w:hAnsi="宋体" w:eastAsia="宋体"/>
          <w:szCs w:val="21"/>
        </w:rPr>
      </w:pPr>
      <w:r>
        <w:rPr>
          <w:rFonts w:ascii="宋体" w:hAnsi="宋体" w:eastAsia="宋体"/>
          <w:szCs w:val="21"/>
        </w:rPr>
        <w:t>晋游社是如何理解并实施差异化发展的？（1</w:t>
      </w:r>
      <w:r>
        <w:rPr>
          <w:rFonts w:hint="eastAsia" w:ascii="宋体" w:hAnsi="宋体" w:eastAsia="宋体"/>
          <w:szCs w:val="21"/>
        </w:rPr>
        <w:t>0</w:t>
      </w:r>
      <w:r>
        <w:rPr>
          <w:rFonts w:ascii="宋体" w:hAnsi="宋体" w:eastAsia="宋体"/>
          <w:szCs w:val="21"/>
        </w:rPr>
        <w:t>分）</w:t>
      </w:r>
    </w:p>
    <w:p>
      <w:pPr>
        <w:pStyle w:val="20"/>
        <w:numPr>
          <w:ilvl w:val="0"/>
          <w:numId w:val="4"/>
        </w:numPr>
        <w:ind w:firstLineChars="0"/>
        <w:rPr>
          <w:rFonts w:ascii="宋体" w:hAnsi="宋体" w:eastAsia="宋体"/>
          <w:szCs w:val="21"/>
        </w:rPr>
      </w:pPr>
      <w:r>
        <w:rPr>
          <w:rFonts w:ascii="宋体" w:hAnsi="宋体" w:eastAsia="宋体"/>
          <w:szCs w:val="21"/>
        </w:rPr>
        <w:t>晋游社</w:t>
      </w:r>
      <w:r>
        <w:rPr>
          <w:rFonts w:hint="eastAsia" w:ascii="宋体" w:hAnsi="宋体" w:eastAsia="宋体"/>
          <w:szCs w:val="21"/>
        </w:rPr>
        <w:t>的</w:t>
      </w:r>
      <w:r>
        <w:rPr>
          <w:rFonts w:ascii="宋体" w:hAnsi="宋体" w:eastAsia="宋体"/>
          <w:szCs w:val="21"/>
        </w:rPr>
        <w:t>核心竞争力体现在哪些方面？（1</w:t>
      </w:r>
      <w:r>
        <w:rPr>
          <w:rFonts w:hint="eastAsia" w:ascii="宋体" w:hAnsi="宋体" w:eastAsia="宋体"/>
          <w:szCs w:val="21"/>
        </w:rPr>
        <w:t>5</w:t>
      </w:r>
      <w:r>
        <w:rPr>
          <w:rFonts w:ascii="宋体" w:hAnsi="宋体" w:eastAsia="宋体"/>
          <w:szCs w:val="21"/>
        </w:rPr>
        <w:t>分）</w:t>
      </w:r>
    </w:p>
    <w:p>
      <w:pPr>
        <w:rPr>
          <w:rFonts w:hint="eastAsia"/>
        </w:rPr>
      </w:pPr>
    </w:p>
    <w:p>
      <w:pPr>
        <w:tabs>
          <w:tab w:val="left" w:pos="4635"/>
        </w:tabs>
        <w:spacing w:line="276" w:lineRule="auto"/>
        <w:rPr>
          <w:rFonts w:ascii="宋体" w:hAnsi="宋体"/>
          <w:b/>
          <w:sz w:val="21"/>
          <w:szCs w:val="21"/>
        </w:rPr>
      </w:pPr>
      <w:r>
        <w:rPr>
          <w:rFonts w:ascii="宋体" w:hAnsi="宋体"/>
          <w:b/>
          <w:sz w:val="21"/>
          <w:szCs w:val="21"/>
        </w:rPr>
        <w:t>案例</w:t>
      </w:r>
      <w:r>
        <w:rPr>
          <w:rFonts w:hint="eastAsia" w:ascii="宋体" w:hAnsi="宋体"/>
          <w:b/>
          <w:sz w:val="21"/>
          <w:szCs w:val="21"/>
        </w:rPr>
        <w:t>2</w:t>
      </w:r>
      <w:r>
        <w:rPr>
          <w:rFonts w:ascii="宋体" w:hAnsi="宋体"/>
          <w:b/>
          <w:sz w:val="21"/>
          <w:szCs w:val="21"/>
        </w:rPr>
        <w:t>：</w:t>
      </w:r>
    </w:p>
    <w:p>
      <w:pPr>
        <w:tabs>
          <w:tab w:val="left" w:pos="4635"/>
        </w:tabs>
        <w:spacing w:line="276" w:lineRule="auto"/>
        <w:ind w:firstLine="420" w:firstLineChars="200"/>
        <w:rPr>
          <w:rFonts w:ascii="宋体" w:hAnsi="宋体"/>
          <w:bCs/>
          <w:sz w:val="21"/>
          <w:szCs w:val="21"/>
        </w:rPr>
      </w:pPr>
      <w:r>
        <w:rPr>
          <w:rFonts w:ascii="宋体" w:hAnsi="宋体"/>
          <w:sz w:val="21"/>
          <w:szCs w:val="21"/>
        </w:rPr>
        <w:t>吴君通过学校推荐来到某公司，给张总经理做秘书。张总可谓日理万机，因为公司的大小事情都必须要向他汇报，得到他的指示才能行事。尽管如此，吴君感到工作还是比较轻松。因为任何事情他只是需要交给总经理，再把总经理的答复转给相关负责人，就算完成任务了。可是好景不长，因为张总经理每天太过奔波劳累，终于病倒了。</w:t>
      </w:r>
      <w:r>
        <w:rPr>
          <w:rFonts w:ascii="宋体" w:hAnsi="宋体"/>
          <w:sz w:val="21"/>
          <w:szCs w:val="21"/>
        </w:rPr>
        <w:br w:type="textWrapping"/>
      </w:r>
      <w:r>
        <w:rPr>
          <w:rFonts w:ascii="宋体" w:hAnsi="宋体"/>
          <w:sz w:val="21"/>
          <w:szCs w:val="21"/>
        </w:rPr>
        <w:t xml:space="preserve">    新上任了王总经理。王总开始对吴君每天无论大小事宜都要请示提出了批评，让她慢慢学会分清轻重缓急，有些事情可以直接转交其他副总经理处理，这样，王总经理每日有更多的时间去考虑公司的长远目标，确立组织发展方向，然后再在高层领导者之间召开会议，进行研讨。自王总经理上任以来，公司出台了新的发展战略、试点定位及公司内部的规章制度，公司的业绩也在短期内有了很大的提高。同时，吴君很忙碌，有时需要跑很多的部门去协调一件工作，让她觉得学到了很多东西，也充实了不少。因为业绩突出，王总经理干了一年就被调到总公司去了。</w:t>
      </w:r>
      <w:r>
        <w:rPr>
          <w:rFonts w:ascii="宋体" w:hAnsi="宋体"/>
          <w:sz w:val="21"/>
          <w:szCs w:val="21"/>
        </w:rPr>
        <w:br w:type="textWrapping"/>
      </w:r>
      <w:r>
        <w:rPr>
          <w:rFonts w:ascii="宋体" w:hAnsi="宋体"/>
          <w:sz w:val="21"/>
          <w:szCs w:val="21"/>
        </w:rPr>
        <w:t xml:space="preserve">    之后又来了李总经理。相对于张总经理的事必躬亲以及王总经理的有张有弛，李总经理就要随意多了。他到任之后，先是了解了一下公司的总体情况，感到非常自意，就对下面的经理说：“公司目前的运营一切顺利。我看大家都做得比较到位，经理嘛，关键时刻把把关就可以了，不是很重要的事情你们就看着办吧。”这样一来吴君享受到了自工作以来没有过的轻松，因为一周也没有几件事情要找李总经理。</w:t>
      </w:r>
    </w:p>
    <w:p>
      <w:pPr>
        <w:pStyle w:val="20"/>
        <w:widowControl/>
        <w:spacing w:line="276" w:lineRule="auto"/>
        <w:ind w:left="420" w:firstLine="0" w:firstLineChars="0"/>
        <w:rPr>
          <w:rFonts w:ascii="宋体" w:hAnsi="宋体" w:eastAsia="宋体"/>
          <w:szCs w:val="21"/>
        </w:rPr>
      </w:pPr>
      <w:r>
        <w:rPr>
          <w:rFonts w:hint="eastAsia" w:ascii="宋体" w:hAnsi="宋体" w:eastAsia="宋体"/>
          <w:szCs w:val="21"/>
        </w:rPr>
        <w:t>问题分析</w:t>
      </w:r>
      <w:r>
        <w:rPr>
          <w:rFonts w:ascii="宋体" w:hAnsi="宋体" w:eastAsia="宋体"/>
          <w:szCs w:val="21"/>
        </w:rPr>
        <w:t>：</w:t>
      </w:r>
    </w:p>
    <w:p>
      <w:pPr>
        <w:pStyle w:val="20"/>
        <w:numPr>
          <w:ilvl w:val="0"/>
          <w:numId w:val="5"/>
        </w:numPr>
        <w:ind w:firstLineChars="0"/>
        <w:rPr>
          <w:rFonts w:ascii="宋体" w:hAnsi="宋体" w:eastAsia="宋体"/>
          <w:szCs w:val="21"/>
        </w:rPr>
      </w:pPr>
      <w:r>
        <w:rPr>
          <w:rFonts w:ascii="宋体" w:hAnsi="宋体" w:eastAsia="宋体"/>
          <w:szCs w:val="21"/>
        </w:rPr>
        <w:t>你认为三个领导的风格有区别吗?请按照所学的情景领导模型进行归类。(1</w:t>
      </w:r>
      <w:r>
        <w:rPr>
          <w:rFonts w:hint="eastAsia" w:ascii="宋体" w:hAnsi="宋体" w:eastAsia="宋体"/>
          <w:szCs w:val="21"/>
        </w:rPr>
        <w:t>0</w:t>
      </w:r>
      <w:r>
        <w:rPr>
          <w:rFonts w:ascii="宋体" w:hAnsi="宋体" w:eastAsia="宋体"/>
          <w:szCs w:val="21"/>
        </w:rPr>
        <w:t>分)</w:t>
      </w:r>
    </w:p>
    <w:p>
      <w:pPr>
        <w:pStyle w:val="20"/>
        <w:numPr>
          <w:ilvl w:val="0"/>
          <w:numId w:val="5"/>
        </w:numPr>
        <w:ind w:firstLineChars="0"/>
        <w:rPr>
          <w:rFonts w:ascii="宋体" w:hAnsi="宋体" w:eastAsia="宋体"/>
          <w:szCs w:val="21"/>
        </w:rPr>
      </w:pPr>
      <w:r>
        <w:rPr>
          <w:rFonts w:ascii="宋体" w:hAnsi="宋体" w:eastAsia="宋体"/>
          <w:szCs w:val="21"/>
        </w:rPr>
        <w:t>你认为哪个领导的管理风格更可取?(1</w:t>
      </w:r>
      <w:r>
        <w:rPr>
          <w:rFonts w:hint="eastAsia" w:ascii="宋体" w:hAnsi="宋体" w:eastAsia="宋体"/>
          <w:szCs w:val="21"/>
        </w:rPr>
        <w:t>5</w:t>
      </w:r>
      <w:r>
        <w:rPr>
          <w:rFonts w:ascii="宋体" w:hAnsi="宋体" w:eastAsia="宋体"/>
          <w:szCs w:val="21"/>
        </w:rPr>
        <w:t>分)</w:t>
      </w:r>
    </w:p>
    <w:p>
      <w:pPr>
        <w:jc w:val="center"/>
        <w:rPr>
          <w:rFonts w:hint="eastAsia"/>
        </w:rPr>
      </w:pPr>
    </w:p>
    <w:sectPr>
      <w:headerReference r:id="rId3" w:type="default"/>
      <w:footerReference r:id="rId4" w:type="default"/>
      <w:type w:val="continuous"/>
      <w:pgSz w:w="11850" w:h="16783"/>
      <w:pgMar w:top="2835" w:right="1134" w:bottom="1134" w:left="1134" w:header="794" w:footer="850" w:gutter="0"/>
      <w:pgBorders>
        <w:top w:val="single" w:color="auto" w:sz="4" w:space="1"/>
        <w:left w:val="single" w:color="auto" w:sz="4" w:space="4"/>
        <w:bottom w:val="single" w:color="auto" w:sz="4" w:space="1"/>
        <w:right w:val="single" w:color="auto" w:sz="4" w:space="4"/>
      </w:pgBorders>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sz w:val="18"/>
        <w:szCs w:val="18"/>
      </w:rPr>
    </w:pPr>
    <w:r>
      <w:rPr>
        <w:rFonts w:hint="eastAsia"/>
        <w:sz w:val="18"/>
        <w:szCs w:val="18"/>
      </w:rPr>
      <w:t xml:space="preserve">第 </w:t>
    </w:r>
    <w:r>
      <w:rPr>
        <w:sz w:val="18"/>
        <w:szCs w:val="18"/>
      </w:rPr>
      <w:fldChar w:fldCharType="begin"/>
    </w:r>
    <w:r>
      <w:rPr>
        <w:sz w:val="18"/>
        <w:szCs w:val="18"/>
      </w:rPr>
      <w:instrText xml:space="preserve"> PAGE </w:instrText>
    </w:r>
    <w:r>
      <w:rPr>
        <w:sz w:val="18"/>
        <w:szCs w:val="18"/>
      </w:rPr>
      <w:fldChar w:fldCharType="separate"/>
    </w:r>
    <w:r>
      <w:rPr>
        <w:sz w:val="18"/>
        <w:szCs w:val="18"/>
        <w:lang/>
      </w:rPr>
      <w:t>1</w:t>
    </w:r>
    <w:r>
      <w:rPr>
        <w:sz w:val="18"/>
        <w:szCs w:val="18"/>
      </w:rPr>
      <w:fldChar w:fldCharType="end"/>
    </w:r>
    <w:r>
      <w:rPr>
        <w:rFonts w:hint="eastAsia"/>
        <w:sz w:val="18"/>
        <w:szCs w:val="18"/>
      </w:rPr>
      <w:t xml:space="preserve"> 页 共 </w:t>
    </w:r>
    <w:r>
      <w:rPr>
        <w:sz w:val="18"/>
        <w:szCs w:val="18"/>
      </w:rPr>
      <w:fldChar w:fldCharType="begin"/>
    </w:r>
    <w:r>
      <w:rPr>
        <w:sz w:val="18"/>
        <w:szCs w:val="18"/>
      </w:rPr>
      <w:instrText xml:space="preserve"> NUMPAGES </w:instrText>
    </w:r>
    <w:r>
      <w:rPr>
        <w:sz w:val="18"/>
        <w:szCs w:val="18"/>
      </w:rPr>
      <w:fldChar w:fldCharType="separate"/>
    </w:r>
    <w:r>
      <w:rPr>
        <w:sz w:val="18"/>
        <w:szCs w:val="18"/>
        <w:lang/>
      </w:rPr>
      <w:t>2</w:t>
    </w:r>
    <w:r>
      <w:rPr>
        <w:sz w:val="18"/>
        <w:szCs w:val="18"/>
      </w:rPr>
      <w:fldChar w:fldCharType="end"/>
    </w:r>
    <w:r>
      <w:rPr>
        <w:rFonts w:hint="eastAsia"/>
        <w:sz w:val="18"/>
        <w:szCs w:val="18"/>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20" w:afterLines="50"/>
      <w:jc w:val="center"/>
      <w:rPr>
        <w:rFonts w:ascii="宋体" w:hAnsi="宋体"/>
        <w:b/>
        <w:sz w:val="32"/>
        <w:szCs w:val="32"/>
      </w:rPr>
    </w:pPr>
  </w:p>
  <w:p>
    <w:pPr>
      <w:spacing w:after="120" w:afterLines="50"/>
      <w:jc w:val="center"/>
      <w:rPr>
        <w:rFonts w:hint="eastAsia" w:ascii="宋体" w:hAnsi="宋体"/>
        <w:b/>
        <w:sz w:val="32"/>
        <w:szCs w:val="32"/>
      </w:rPr>
    </w:pPr>
    <w:r>
      <w:rPr>
        <w:rFonts w:hint="eastAsia" w:ascii="宋体" w:hAnsi="宋体"/>
        <w:b/>
        <w:sz w:val="32"/>
        <w:szCs w:val="32"/>
      </w:rPr>
      <w:t>宁波大学</w:t>
    </w:r>
    <w:r>
      <w:rPr>
        <w:rFonts w:hint="eastAsia" w:ascii="宋体" w:hAnsi="宋体"/>
        <w:b/>
        <w:sz w:val="32"/>
        <w:szCs w:val="32"/>
        <w:u w:val="single"/>
      </w:rPr>
      <w:t>2021</w:t>
    </w:r>
    <w:r>
      <w:rPr>
        <w:rFonts w:hint="eastAsia" w:ascii="宋体" w:hAnsi="宋体"/>
        <w:b/>
        <w:sz w:val="32"/>
        <w:szCs w:val="32"/>
      </w:rPr>
      <w:t>年硕士研究生招生考试初试试题</w:t>
    </w:r>
    <w:r>
      <w:rPr>
        <w:rFonts w:ascii="宋体" w:hAnsi="宋体"/>
        <w:b/>
        <w:sz w:val="32"/>
        <w:szCs w:val="32"/>
      </w:rPr>
      <w:t>(</w:t>
    </w:r>
    <w:r>
      <w:rPr>
        <w:rFonts w:hint="eastAsia" w:ascii="宋体" w:hAnsi="宋体"/>
        <w:b/>
        <w:sz w:val="32"/>
        <w:szCs w:val="32"/>
      </w:rPr>
      <w:t>B卷</w:t>
    </w:r>
    <w:r>
      <w:rPr>
        <w:rFonts w:ascii="宋体" w:hAnsi="宋体"/>
        <w:b/>
        <w:sz w:val="32"/>
        <w:szCs w:val="32"/>
      </w:rPr>
      <w:t>)</w:t>
    </w:r>
  </w:p>
  <w:p>
    <w:pPr>
      <w:spacing w:after="360"/>
      <w:jc w:val="center"/>
      <w:rPr>
        <w:rFonts w:hint="eastAsia"/>
        <w:bCs/>
        <w:sz w:val="18"/>
      </w:rPr>
    </w:pPr>
    <w:r>
      <w:rPr>
        <w:rFonts w:hint="eastAsia"/>
        <w:b/>
        <w:sz w:val="32"/>
        <w:szCs w:val="32"/>
      </w:rPr>
      <w:t xml:space="preserve"> </w:t>
    </w:r>
    <w:r>
      <w:rPr>
        <w:bCs/>
        <w:sz w:val="18"/>
      </w:rPr>
      <w:t>(</w:t>
    </w:r>
    <w:r>
      <w:rPr>
        <w:rFonts w:hint="eastAsia"/>
        <w:bCs/>
        <w:sz w:val="18"/>
      </w:rPr>
      <w:t>答案必须写在考点提供的答</w:t>
    </w:r>
    <w:r>
      <w:rPr>
        <w:rFonts w:hint="eastAsia"/>
        <w:sz w:val="18"/>
      </w:rPr>
      <w:t>题</w:t>
    </w:r>
    <w:r>
      <w:rPr>
        <w:rFonts w:hint="eastAsia"/>
        <w:bCs/>
        <w:sz w:val="18"/>
      </w:rPr>
      <w:t>纸上)</w:t>
    </w:r>
  </w:p>
  <w:tbl>
    <w:tblPr>
      <w:tblStyle w:val="9"/>
      <w:tblpPr w:leftFromText="180" w:rightFromText="180" w:vertAnchor="text" w:horzAnchor="page" w:tblpX="1012" w:tblpY="3"/>
      <w:tblOverlap w:val="never"/>
      <w:tblW w:w="0" w:type="auto"/>
      <w:tblInd w:w="0" w:type="dxa"/>
      <w:tblLayout w:type="fixed"/>
      <w:tblCellMar>
        <w:top w:w="0" w:type="dxa"/>
        <w:left w:w="57" w:type="dxa"/>
        <w:bottom w:w="0" w:type="dxa"/>
        <w:right w:w="57" w:type="dxa"/>
      </w:tblCellMar>
    </w:tblPr>
    <w:tblGrid>
      <w:gridCol w:w="1401"/>
      <w:gridCol w:w="499"/>
      <w:gridCol w:w="1226"/>
      <w:gridCol w:w="840"/>
      <w:gridCol w:w="1245"/>
      <w:gridCol w:w="3795"/>
    </w:tblGrid>
    <w:tr>
      <w:tblPrEx>
        <w:tblCellMar>
          <w:top w:w="0" w:type="dxa"/>
          <w:left w:w="57" w:type="dxa"/>
          <w:bottom w:w="0" w:type="dxa"/>
          <w:right w:w="57" w:type="dxa"/>
        </w:tblCellMar>
      </w:tblPrEx>
      <w:trPr>
        <w:wBefore w:w="0" w:type="dxa"/>
        <w:wAfter w:w="0" w:type="dxa"/>
        <w:trHeight w:val="284" w:hRule="atLeast"/>
      </w:trPr>
      <w:tc>
        <w:tcPr>
          <w:tcW w:w="1401" w:type="dxa"/>
          <w:noWrap w:val="0"/>
          <w:vAlign w:val="center"/>
        </w:tcPr>
        <w:p>
          <w:pPr>
            <w:spacing w:after="100" w:afterAutospacing="1"/>
            <w:ind w:left="0" w:firstLine="211" w:firstLineChars="100"/>
            <w:jc w:val="left"/>
            <w:rPr>
              <w:rFonts w:hint="eastAsia"/>
              <w:b/>
              <w:sz w:val="21"/>
            </w:rPr>
          </w:pPr>
          <w:r>
            <w:rPr>
              <w:rFonts w:hint="eastAsia"/>
              <w:b/>
              <w:sz w:val="21"/>
            </w:rPr>
            <w:t xml:space="preserve">科目代码：   </w:t>
          </w:r>
        </w:p>
      </w:tc>
      <w:tc>
        <w:tcPr>
          <w:tcW w:w="499" w:type="dxa"/>
          <w:tcBorders>
            <w:bottom w:val="single" w:color="auto" w:sz="4" w:space="0"/>
          </w:tcBorders>
          <w:noWrap w:val="0"/>
          <w:vAlign w:val="center"/>
        </w:tcPr>
        <w:p>
          <w:pPr>
            <w:spacing w:after="100" w:afterAutospacing="1"/>
            <w:ind w:left="0"/>
            <w:jc w:val="center"/>
            <w:rPr>
              <w:rFonts w:hint="eastAsia"/>
              <w:b/>
              <w:sz w:val="21"/>
            </w:rPr>
          </w:pPr>
          <w:r>
            <w:rPr>
              <w:rFonts w:hint="eastAsia"/>
              <w:b/>
              <w:sz w:val="21"/>
            </w:rPr>
            <w:t>812</w:t>
          </w:r>
        </w:p>
      </w:tc>
      <w:tc>
        <w:tcPr>
          <w:tcW w:w="1226" w:type="dxa"/>
          <w:noWrap w:val="0"/>
          <w:vAlign w:val="center"/>
        </w:tcPr>
        <w:p>
          <w:pPr>
            <w:spacing w:after="100" w:afterAutospacing="1"/>
            <w:ind w:left="0" w:firstLine="211" w:firstLineChars="100"/>
            <w:jc w:val="left"/>
            <w:rPr>
              <w:rFonts w:hint="eastAsia"/>
              <w:b/>
              <w:sz w:val="21"/>
            </w:rPr>
          </w:pPr>
          <w:r>
            <w:rPr>
              <w:rFonts w:hint="eastAsia"/>
              <w:b/>
              <w:sz w:val="21"/>
            </w:rPr>
            <w:t xml:space="preserve">总分值： </w:t>
          </w:r>
        </w:p>
      </w:tc>
      <w:tc>
        <w:tcPr>
          <w:tcW w:w="840" w:type="dxa"/>
          <w:tcBorders>
            <w:bottom w:val="single" w:color="auto" w:sz="4" w:space="0"/>
          </w:tcBorders>
          <w:noWrap w:val="0"/>
          <w:vAlign w:val="center"/>
        </w:tcPr>
        <w:p>
          <w:pPr>
            <w:spacing w:after="100" w:afterAutospacing="1"/>
            <w:ind w:left="0"/>
            <w:jc w:val="center"/>
            <w:rPr>
              <w:rFonts w:hint="eastAsia"/>
              <w:b/>
              <w:sz w:val="21"/>
            </w:rPr>
          </w:pPr>
          <w:r>
            <w:rPr>
              <w:rFonts w:hint="eastAsia"/>
              <w:b/>
              <w:sz w:val="21"/>
            </w:rPr>
            <w:t>150</w:t>
          </w:r>
        </w:p>
      </w:tc>
      <w:tc>
        <w:tcPr>
          <w:tcW w:w="1245" w:type="dxa"/>
          <w:noWrap w:val="0"/>
          <w:vAlign w:val="center"/>
        </w:tcPr>
        <w:p>
          <w:pPr>
            <w:spacing w:after="100" w:afterAutospacing="1"/>
            <w:ind w:left="0"/>
            <w:jc w:val="left"/>
            <w:rPr>
              <w:rFonts w:hint="eastAsia"/>
              <w:b/>
              <w:sz w:val="21"/>
            </w:rPr>
          </w:pPr>
          <w:r>
            <w:rPr>
              <w:rFonts w:hint="eastAsia"/>
              <w:b/>
              <w:sz w:val="21"/>
            </w:rPr>
            <w:t>科目名称：</w:t>
          </w:r>
        </w:p>
      </w:tc>
      <w:tc>
        <w:tcPr>
          <w:tcW w:w="3795" w:type="dxa"/>
          <w:tcBorders>
            <w:bottom w:val="single" w:color="auto" w:sz="4" w:space="0"/>
          </w:tcBorders>
          <w:noWrap w:val="0"/>
          <w:vAlign w:val="center"/>
        </w:tcPr>
        <w:p>
          <w:pPr>
            <w:spacing w:after="100" w:afterAutospacing="1"/>
            <w:ind w:left="0"/>
            <w:jc w:val="center"/>
            <w:rPr>
              <w:b/>
              <w:sz w:val="21"/>
            </w:rPr>
          </w:pPr>
          <w:r>
            <w:rPr>
              <w:rFonts w:hint="eastAsia"/>
              <w:b/>
              <w:sz w:val="21"/>
            </w:rPr>
            <w:t>管理学</w:t>
          </w:r>
        </w:p>
      </w:tc>
    </w:tr>
  </w:tbl>
  <w:p>
    <w:pPr>
      <w:snapToGrid/>
      <w:spacing w:after="120" w:afterLines="50" w:line="360" w:lineRule="auto"/>
      <w:rPr>
        <w:rFonts w:hint="eastAsia"/>
        <w:b/>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84463"/>
    <w:multiLevelType w:val="multilevel"/>
    <w:tmpl w:val="13584463"/>
    <w:lvl w:ilvl="0" w:tentative="0">
      <w:start w:val="1"/>
      <w:numFmt w:val="decimal"/>
      <w:lvlText w:val="%1、"/>
      <w:lvlJc w:val="left"/>
      <w:pPr>
        <w:ind w:left="840" w:hanging="420"/>
      </w:pPr>
      <w:rPr>
        <w:rFonts w:hint="default" w:ascii="Calibri" w:hAnsi="Calibri" w:eastAsia="宋体"/>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416D29FD"/>
    <w:multiLevelType w:val="multilevel"/>
    <w:tmpl w:val="416D29FD"/>
    <w:lvl w:ilvl="0" w:tentative="0">
      <w:start w:val="1"/>
      <w:numFmt w:val="decimal"/>
      <w:lvlText w:val="%1、"/>
      <w:lvlJc w:val="left"/>
      <w:pPr>
        <w:ind w:left="840" w:hanging="420"/>
      </w:pPr>
      <w:rPr>
        <w:rFonts w:hint="default" w:ascii="Calibri" w:hAnsi="Calibri" w:eastAsia="宋体"/>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4C748CC"/>
    <w:multiLevelType w:val="multilevel"/>
    <w:tmpl w:val="44C748CC"/>
    <w:lvl w:ilvl="0" w:tentative="0">
      <w:start w:val="1"/>
      <w:numFmt w:val="decimal"/>
      <w:lvlText w:val="%1、"/>
      <w:lvlJc w:val="left"/>
      <w:pPr>
        <w:ind w:left="420" w:hanging="420"/>
      </w:pPr>
      <w:rPr>
        <w:rFonts w:hint="default" w:ascii="Calibri" w:hAnsi="Calibri" w:eastAsia="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BE6D59"/>
    <w:multiLevelType w:val="multilevel"/>
    <w:tmpl w:val="70BE6D59"/>
    <w:lvl w:ilvl="0" w:tentative="0">
      <w:start w:val="1"/>
      <w:numFmt w:val="decimal"/>
      <w:lvlText w:val="%1、"/>
      <w:lvlJc w:val="left"/>
      <w:pPr>
        <w:ind w:left="420" w:hanging="420"/>
      </w:pPr>
      <w:rPr>
        <w:rFonts w:hint="default" w:ascii="Calibri" w:hAnsi="Calibri" w:eastAsia="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F035970"/>
    <w:multiLevelType w:val="multilevel"/>
    <w:tmpl w:val="7F035970"/>
    <w:lvl w:ilvl="0" w:tentative="0">
      <w:start w:val="1"/>
      <w:numFmt w:val="decimal"/>
      <w:lvlText w:val="%1、"/>
      <w:lvlJc w:val="left"/>
      <w:pPr>
        <w:ind w:left="420" w:hanging="420"/>
      </w:pPr>
      <w:rPr>
        <w:rFonts w:hint="default" w:ascii="Calibri" w:hAnsi="Calibri" w:eastAsia="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567"/>
  <w:hyphenationZone w:val="360"/>
  <w:drawingGridHorizontalSpacing w:val="28"/>
  <w:drawingGridVerticalSpacing w:val="2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829"/>
    <w:rsid w:val="00013661"/>
    <w:rsid w:val="0001656C"/>
    <w:rsid w:val="00024D51"/>
    <w:rsid w:val="00024EA2"/>
    <w:rsid w:val="00073B24"/>
    <w:rsid w:val="00083659"/>
    <w:rsid w:val="000854E4"/>
    <w:rsid w:val="000E185E"/>
    <w:rsid w:val="00162417"/>
    <w:rsid w:val="0016657D"/>
    <w:rsid w:val="00174B21"/>
    <w:rsid w:val="001B6A47"/>
    <w:rsid w:val="001F0B56"/>
    <w:rsid w:val="00222DC5"/>
    <w:rsid w:val="002236B7"/>
    <w:rsid w:val="002675DC"/>
    <w:rsid w:val="002949A1"/>
    <w:rsid w:val="00296737"/>
    <w:rsid w:val="002C3552"/>
    <w:rsid w:val="002D4C16"/>
    <w:rsid w:val="002E49DA"/>
    <w:rsid w:val="003042AF"/>
    <w:rsid w:val="003053BD"/>
    <w:rsid w:val="00366B2C"/>
    <w:rsid w:val="003800CE"/>
    <w:rsid w:val="003A03EC"/>
    <w:rsid w:val="003E0545"/>
    <w:rsid w:val="003E76BF"/>
    <w:rsid w:val="00481E62"/>
    <w:rsid w:val="00497896"/>
    <w:rsid w:val="004A603F"/>
    <w:rsid w:val="004A6A0B"/>
    <w:rsid w:val="004C5B7E"/>
    <w:rsid w:val="005452EE"/>
    <w:rsid w:val="00551528"/>
    <w:rsid w:val="00562AA2"/>
    <w:rsid w:val="005C7FD7"/>
    <w:rsid w:val="005E7478"/>
    <w:rsid w:val="006635FF"/>
    <w:rsid w:val="006B331D"/>
    <w:rsid w:val="007564EC"/>
    <w:rsid w:val="007B7430"/>
    <w:rsid w:val="007D63B3"/>
    <w:rsid w:val="007F2B17"/>
    <w:rsid w:val="00805CBB"/>
    <w:rsid w:val="008074B7"/>
    <w:rsid w:val="00811337"/>
    <w:rsid w:val="0083357C"/>
    <w:rsid w:val="00855B44"/>
    <w:rsid w:val="008B1277"/>
    <w:rsid w:val="008C10DD"/>
    <w:rsid w:val="00920506"/>
    <w:rsid w:val="0095446F"/>
    <w:rsid w:val="00954AB9"/>
    <w:rsid w:val="00973AEA"/>
    <w:rsid w:val="009C3274"/>
    <w:rsid w:val="009D440A"/>
    <w:rsid w:val="009E5E20"/>
    <w:rsid w:val="00A1123E"/>
    <w:rsid w:val="00A75B40"/>
    <w:rsid w:val="00A869FB"/>
    <w:rsid w:val="00AA3A44"/>
    <w:rsid w:val="00AC6C70"/>
    <w:rsid w:val="00AD516C"/>
    <w:rsid w:val="00B21398"/>
    <w:rsid w:val="00B36632"/>
    <w:rsid w:val="00B401AB"/>
    <w:rsid w:val="00B43BB6"/>
    <w:rsid w:val="00B46596"/>
    <w:rsid w:val="00B80F2D"/>
    <w:rsid w:val="00BE2DCA"/>
    <w:rsid w:val="00C361BF"/>
    <w:rsid w:val="00C5040C"/>
    <w:rsid w:val="00C75DA7"/>
    <w:rsid w:val="00CB2AF0"/>
    <w:rsid w:val="00CB3E4C"/>
    <w:rsid w:val="00CC6D7B"/>
    <w:rsid w:val="00CD5402"/>
    <w:rsid w:val="00D04C7B"/>
    <w:rsid w:val="00D173E6"/>
    <w:rsid w:val="00D21829"/>
    <w:rsid w:val="00D41882"/>
    <w:rsid w:val="00D70B5F"/>
    <w:rsid w:val="00DA7E79"/>
    <w:rsid w:val="00DE133B"/>
    <w:rsid w:val="00E13DF8"/>
    <w:rsid w:val="00E317D0"/>
    <w:rsid w:val="00E95C62"/>
    <w:rsid w:val="00EB04E6"/>
    <w:rsid w:val="00ED1719"/>
    <w:rsid w:val="00ED461B"/>
    <w:rsid w:val="00EE5258"/>
    <w:rsid w:val="00F46B29"/>
    <w:rsid w:val="00F56403"/>
    <w:rsid w:val="00F6194E"/>
    <w:rsid w:val="00FA2866"/>
    <w:rsid w:val="00FA29B5"/>
    <w:rsid w:val="00FC39BD"/>
    <w:rsid w:val="00FD2595"/>
    <w:rsid w:val="00FF0FE4"/>
    <w:rsid w:val="087844C1"/>
    <w:rsid w:val="1C513B7A"/>
    <w:rsid w:val="27E03F9B"/>
    <w:rsid w:val="2DFB66FE"/>
    <w:rsid w:val="3A8136AA"/>
    <w:rsid w:val="3FE17EEF"/>
    <w:rsid w:val="40C0637E"/>
    <w:rsid w:val="40CD0E8B"/>
    <w:rsid w:val="40D016EC"/>
    <w:rsid w:val="4A3A58B2"/>
    <w:rsid w:val="50286C1A"/>
    <w:rsid w:val="50750478"/>
    <w:rsid w:val="50B01DE7"/>
    <w:rsid w:val="56F252C4"/>
    <w:rsid w:val="5774063D"/>
    <w:rsid w:val="681175B9"/>
    <w:rsid w:val="7EB36F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ind w:left="57" w:right="57"/>
      <w:jc w:val="both"/>
    </w:pPr>
    <w:rPr>
      <w:snapToGrid w:val="0"/>
      <w:sz w:val="24"/>
      <w:szCs w:val="24"/>
      <w:lang w:val="en-US" w:eastAsia="zh-CN" w:bidi="ar-SA"/>
    </w:rPr>
  </w:style>
  <w:style w:type="paragraph" w:styleId="2">
    <w:name w:val="heading 1"/>
    <w:basedOn w:val="1"/>
    <w:next w:val="1"/>
    <w:qFormat/>
    <w:uiPriority w:val="0"/>
    <w:pPr>
      <w:keepNext/>
      <w:jc w:val="center"/>
      <w:outlineLvl w:val="0"/>
    </w:pPr>
    <w:rPr>
      <w:sz w:val="32"/>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3">
    <w:name w:val="Body Text"/>
    <w:basedOn w:val="1"/>
    <w:uiPriority w:val="0"/>
    <w:pPr>
      <w:spacing w:after="60" w:line="300" w:lineRule="auto"/>
    </w:pPr>
  </w:style>
  <w:style w:type="paragraph" w:styleId="4">
    <w:name w:val="Balloon Text"/>
    <w:basedOn w:val="1"/>
    <w:link w:val="22"/>
    <w:uiPriority w:val="0"/>
    <w:rPr>
      <w:sz w:val="18"/>
      <w:szCs w:val="18"/>
    </w:rPr>
  </w:style>
  <w:style w:type="paragraph" w:styleId="5">
    <w:name w:val="footer"/>
    <w:basedOn w:val="1"/>
    <w:uiPriority w:val="0"/>
    <w:pPr>
      <w:jc w:val="right"/>
    </w:pPr>
    <w:rPr>
      <w:sz w:val="21"/>
      <w:szCs w:val="21"/>
    </w:rPr>
  </w:style>
  <w:style w:type="paragraph" w:styleId="6">
    <w:name w:val="header"/>
    <w:basedOn w:val="1"/>
    <w:uiPriority w:val="0"/>
    <w:pPr>
      <w:pBdr>
        <w:bottom w:val="single" w:color="auto" w:sz="6" w:space="1"/>
      </w:pBdr>
      <w:snapToGrid w:val="0"/>
      <w:jc w:val="center"/>
    </w:pPr>
    <w:rPr>
      <w:sz w:val="18"/>
      <w:szCs w:val="18"/>
    </w:rPr>
  </w:style>
  <w:style w:type="paragraph" w:styleId="7">
    <w:name w:val="Normal (Web)"/>
    <w:basedOn w:val="1"/>
    <w:unhideWhenUsed/>
    <w:uiPriority w:val="99"/>
    <w:pPr>
      <w:widowControl/>
      <w:adjustRightInd/>
      <w:snapToGrid/>
      <w:spacing w:before="100" w:beforeAutospacing="1" w:after="100" w:afterAutospacing="1"/>
      <w:ind w:left="0" w:right="0"/>
      <w:jc w:val="left"/>
    </w:pPr>
    <w:rPr>
      <w:rFonts w:ascii="宋体" w:hAnsi="宋体" w:cs="宋体"/>
      <w:snapToGrid/>
    </w:rPr>
  </w:style>
  <w:style w:type="paragraph" w:styleId="8">
    <w:name w:val="Body Text First Indent"/>
    <w:basedOn w:val="3"/>
    <w:uiPriority w:val="0"/>
    <w:pPr>
      <w:tabs>
        <w:tab w:val="right" w:pos="7938"/>
      </w:tabs>
      <w:spacing w:before="60"/>
      <w:ind w:firstLine="567"/>
    </w:pPr>
    <w:rPr>
      <w:snapToGrid w:val="0"/>
      <w:kern w:val="0"/>
      <w:sz w:val="24"/>
      <w:szCs w:val="20"/>
      <w:lang/>
    </w:rPr>
  </w:style>
  <w:style w:type="paragraph" w:customStyle="1" w:styleId="11">
    <w:name w:val="表头"/>
    <w:basedOn w:val="1"/>
    <w:next w:val="1"/>
    <w:uiPriority w:val="0"/>
    <w:pPr>
      <w:keepLines/>
      <w:widowControl/>
      <w:overflowPunct w:val="0"/>
      <w:autoSpaceDN w:val="0"/>
      <w:adjustRightInd w:val="0"/>
      <w:snapToGrid w:val="0"/>
      <w:spacing w:before="40" w:after="40"/>
      <w:ind w:left="57" w:right="57"/>
      <w:jc w:val="center"/>
    </w:pPr>
    <w:rPr>
      <w:b/>
      <w:snapToGrid w:val="0"/>
      <w:kern w:val="21"/>
      <w:sz w:val="24"/>
    </w:rPr>
  </w:style>
  <w:style w:type="paragraph" w:customStyle="1" w:styleId="12">
    <w:name w:val="图名"/>
    <w:basedOn w:val="1"/>
    <w:next w:val="3"/>
    <w:uiPriority w:val="0"/>
    <w:pPr>
      <w:keepLines/>
      <w:widowControl/>
      <w:adjustRightInd w:val="0"/>
      <w:snapToGrid w:val="0"/>
      <w:spacing w:after="120" w:line="300" w:lineRule="auto"/>
      <w:jc w:val="center"/>
    </w:pPr>
    <w:rPr>
      <w:bCs/>
      <w:snapToGrid w:val="0"/>
      <w:kern w:val="0"/>
      <w:sz w:val="24"/>
      <w:lang/>
    </w:rPr>
  </w:style>
  <w:style w:type="paragraph" w:customStyle="1" w:styleId="13">
    <w:name w:val="题目条件"/>
    <w:basedOn w:val="1"/>
    <w:next w:val="14"/>
    <w:uiPriority w:val="0"/>
    <w:pPr>
      <w:adjustRightInd w:val="0"/>
      <w:snapToGrid w:val="0"/>
      <w:spacing w:before="60" w:line="300" w:lineRule="auto"/>
      <w:ind w:left="624" w:right="57" w:hanging="567"/>
    </w:pPr>
    <w:rPr>
      <w:b/>
      <w:szCs w:val="20"/>
      <w:lang/>
    </w:rPr>
  </w:style>
  <w:style w:type="paragraph" w:customStyle="1" w:styleId="14">
    <w:name w:val="题目问题"/>
    <w:basedOn w:val="1"/>
    <w:uiPriority w:val="0"/>
    <w:pPr>
      <w:adjustRightInd w:val="0"/>
      <w:snapToGrid w:val="0"/>
      <w:spacing w:before="60" w:line="300" w:lineRule="auto"/>
      <w:ind w:left="1021" w:right="57" w:hanging="454"/>
    </w:pPr>
    <w:rPr>
      <w:sz w:val="21"/>
      <w:szCs w:val="20"/>
      <w:lang/>
    </w:rPr>
  </w:style>
  <w:style w:type="paragraph" w:customStyle="1" w:styleId="15">
    <w:name w:val="图形"/>
    <w:basedOn w:val="1"/>
    <w:next w:val="12"/>
    <w:uiPriority w:val="0"/>
    <w:pPr>
      <w:keepNext/>
      <w:keepLines/>
      <w:widowControl/>
      <w:adjustRightInd w:val="0"/>
      <w:snapToGrid w:val="0"/>
      <w:spacing w:before="180" w:after="60"/>
      <w:jc w:val="center"/>
    </w:pPr>
    <w:rPr>
      <w:snapToGrid w:val="0"/>
      <w:kern w:val="0"/>
      <w:sz w:val="24"/>
      <w:lang/>
    </w:rPr>
  </w:style>
  <w:style w:type="paragraph" w:customStyle="1" w:styleId="16">
    <w:name w:val="表名"/>
    <w:basedOn w:val="1"/>
    <w:next w:val="1"/>
    <w:uiPriority w:val="0"/>
    <w:pPr>
      <w:keepNext/>
      <w:keepLines/>
      <w:widowControl/>
      <w:overflowPunct w:val="0"/>
      <w:autoSpaceDN w:val="0"/>
      <w:adjustRightInd w:val="0"/>
      <w:snapToGrid w:val="0"/>
      <w:spacing w:before="180" w:after="60"/>
      <w:jc w:val="center"/>
    </w:pPr>
    <w:rPr>
      <w:b/>
      <w:snapToGrid w:val="0"/>
      <w:kern w:val="21"/>
      <w:sz w:val="24"/>
    </w:rPr>
  </w:style>
  <w:style w:type="paragraph" w:customStyle="1" w:styleId="17">
    <w:name w:val="编号四选择项"/>
    <w:basedOn w:val="1"/>
    <w:uiPriority w:val="0"/>
    <w:pPr>
      <w:tabs>
        <w:tab w:val="left" w:pos="1134"/>
        <w:tab w:val="left" w:pos="2835"/>
        <w:tab w:val="left" w:pos="4536"/>
        <w:tab w:val="left" w:pos="6237"/>
      </w:tabs>
      <w:spacing w:before="60" w:line="300" w:lineRule="auto"/>
      <w:ind w:left="1191" w:hanging="1134"/>
    </w:pPr>
    <w:rPr>
      <w:sz w:val="21"/>
      <w:szCs w:val="20"/>
      <w:lang/>
    </w:rPr>
  </w:style>
  <w:style w:type="paragraph" w:customStyle="1" w:styleId="18">
    <w:name w:val="公式"/>
    <w:basedOn w:val="1"/>
    <w:next w:val="3"/>
    <w:uiPriority w:val="0"/>
    <w:pPr>
      <w:widowControl/>
      <w:tabs>
        <w:tab w:val="center" w:pos="4253"/>
        <w:tab w:val="right" w:pos="8505"/>
      </w:tabs>
      <w:overflowPunct w:val="0"/>
      <w:ind w:left="567"/>
    </w:pPr>
    <w:rPr>
      <w:sz w:val="21"/>
    </w:rPr>
  </w:style>
  <w:style w:type="paragraph" w:customStyle="1" w:styleId="19">
    <w:name w:val="表元"/>
    <w:basedOn w:val="1"/>
    <w:uiPriority w:val="0"/>
    <w:pPr>
      <w:widowControl/>
      <w:overflowPunct w:val="0"/>
      <w:autoSpaceDN w:val="0"/>
      <w:adjustRightInd w:val="0"/>
      <w:snapToGrid w:val="0"/>
      <w:ind w:left="57" w:right="57"/>
    </w:pPr>
    <w:rPr>
      <w:snapToGrid w:val="0"/>
      <w:kern w:val="21"/>
      <w:sz w:val="24"/>
    </w:rPr>
  </w:style>
  <w:style w:type="paragraph" w:styleId="20">
    <w:name w:val="List Paragraph"/>
    <w:basedOn w:val="1"/>
    <w:qFormat/>
    <w:uiPriority w:val="34"/>
    <w:pPr>
      <w:adjustRightInd/>
      <w:snapToGrid/>
      <w:ind w:left="0" w:right="0" w:firstLine="420" w:firstLineChars="200"/>
    </w:pPr>
    <w:rPr>
      <w:rFonts w:ascii="等线" w:hAnsi="等线" w:eastAsia="等线" w:cs="Times New Roman"/>
      <w:snapToGrid/>
      <w:kern w:val="2"/>
      <w:sz w:val="21"/>
    </w:rPr>
  </w:style>
  <w:style w:type="paragraph" w:customStyle="1" w:styleId="21">
    <w:name w:val="正文文本1"/>
    <w:basedOn w:val="1"/>
    <w:link w:val="23"/>
    <w:uiPriority w:val="0"/>
    <w:pPr>
      <w:adjustRightInd/>
      <w:snapToGrid/>
      <w:spacing w:line="334" w:lineRule="auto"/>
      <w:ind w:left="0" w:right="0" w:firstLine="400"/>
      <w:jc w:val="left"/>
    </w:pPr>
    <w:rPr>
      <w:rFonts w:ascii="宋体" w:hAnsi="宋体" w:cs="宋体"/>
      <w:snapToGrid/>
      <w:sz w:val="20"/>
      <w:szCs w:val="20"/>
    </w:rPr>
  </w:style>
  <w:style w:type="character" w:customStyle="1" w:styleId="22">
    <w:name w:val="批注框文本 Char"/>
    <w:link w:val="4"/>
    <w:uiPriority w:val="0"/>
    <w:rPr>
      <w:snapToGrid/>
      <w:sz w:val="18"/>
      <w:szCs w:val="18"/>
    </w:rPr>
  </w:style>
  <w:style w:type="character" w:customStyle="1" w:styleId="23">
    <w:name w:val="正文文本_"/>
    <w:link w:val="21"/>
    <w:uiPriority w:val="0"/>
    <w:rPr>
      <w:rFonts w:ascii="宋体" w:hAnsi="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1338;&#30805;&#22763;&#33258;&#21629;&#39064;&#35797;&#21367;&#27169;&#26495;\&#23425;&#27874;&#22823;&#23398;&#30740;&#31350;&#29983;&#20837;&#23398;&#35797;&#2136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宁波大学研究生入学试卷</Template>
  <Company>CISE</Company>
  <Pages>2</Pages>
  <Words>373</Words>
  <Characters>2130</Characters>
  <Lines>17</Lines>
  <Paragraphs>4</Paragraphs>
  <TotalTime>0</TotalTime>
  <ScaleCrop>false</ScaleCrop>
  <LinksUpToDate>false</LinksUpToDate>
  <CharactersWithSpaces>2499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2017-10-23T02:52:00Z</dcterms:created>
  <dc:creator>微软用户</dc:creator>
  <cp:lastModifiedBy>Administrator</cp:lastModifiedBy>
  <cp:lastPrinted>2019-11-06T08:43:00Z</cp:lastPrinted>
  <dcterms:modified xsi:type="dcterms:W3CDTF">2021-10-12T01:24:38Z</dcterms:modified>
  <dc:title>宁波大学研究生入学试卷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