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00" w:lineRule="atLeast"/>
        <w:jc w:val="center"/>
        <w:outlineLvl w:val="1"/>
        <w:rPr>
          <w:rFonts w:ascii="微软雅黑" w:hAnsi="微软雅黑" w:eastAsia="微软雅黑" w:cs="宋体"/>
          <w:b/>
          <w:bCs/>
          <w:color w:val="666666"/>
          <w:kern w:val="0"/>
          <w:sz w:val="30"/>
          <w:szCs w:val="30"/>
        </w:rPr>
      </w:pPr>
      <w:r>
        <w:rPr>
          <w:rFonts w:hint="eastAsia" w:ascii="微软雅黑" w:hAnsi="微软雅黑" w:eastAsia="微软雅黑" w:cs="宋体"/>
          <w:b/>
          <w:bCs/>
          <w:color w:val="666666"/>
          <w:kern w:val="0"/>
          <w:sz w:val="30"/>
          <w:szCs w:val="30"/>
        </w:rPr>
        <w:t>202</w:t>
      </w:r>
      <w:r>
        <w:rPr>
          <w:rFonts w:ascii="微软雅黑" w:hAnsi="微软雅黑" w:eastAsia="微软雅黑" w:cs="宋体"/>
          <w:b/>
          <w:bCs/>
          <w:color w:val="666666"/>
          <w:kern w:val="0"/>
          <w:sz w:val="30"/>
          <w:szCs w:val="30"/>
        </w:rPr>
        <w:t>2</w:t>
      </w:r>
      <w:r>
        <w:rPr>
          <w:rFonts w:hint="eastAsia" w:ascii="微软雅黑" w:hAnsi="微软雅黑" w:eastAsia="微软雅黑" w:cs="宋体"/>
          <w:b/>
          <w:bCs/>
          <w:color w:val="666666"/>
          <w:kern w:val="0"/>
          <w:sz w:val="30"/>
          <w:szCs w:val="30"/>
        </w:rPr>
        <w:t>年硕士研究生入学初试自命题科目考试大纲</w:t>
      </w:r>
    </w:p>
    <w:p>
      <w:pPr>
        <w:widowControl/>
        <w:spacing w:line="300" w:lineRule="atLeast"/>
        <w:jc w:val="left"/>
        <w:rPr>
          <w:rFonts w:ascii="新宋体" w:hAnsi="新宋体" w:eastAsia="新宋体" w:cs="宋体"/>
          <w:color w:val="333333"/>
          <w:kern w:val="0"/>
          <w:sz w:val="24"/>
          <w:szCs w:val="24"/>
        </w:rPr>
      </w:pPr>
      <w:r>
        <w:rPr>
          <w:rFonts w:hint="eastAsia" w:ascii="新宋体" w:hAnsi="新宋体" w:eastAsia="新宋体" w:cs="宋体"/>
          <w:color w:val="333333"/>
          <w:kern w:val="0"/>
          <w:sz w:val="24"/>
          <w:szCs w:val="24"/>
        </w:rPr>
        <w:t>命题学院（盖章）：化学化工与环境学院       考试科目名称： 无机化学</w:t>
      </w:r>
    </w:p>
    <w:p>
      <w:pPr>
        <w:widowControl/>
        <w:spacing w:line="300" w:lineRule="atLeast"/>
        <w:jc w:val="left"/>
        <w:rPr>
          <w:rFonts w:ascii="新宋体" w:hAnsi="新宋体" w:eastAsia="新宋体" w:cs="宋体"/>
          <w:color w:val="333333"/>
          <w:kern w:val="0"/>
          <w:sz w:val="24"/>
          <w:szCs w:val="24"/>
        </w:rPr>
      </w:pPr>
      <w:r>
        <w:rPr>
          <w:rFonts w:hint="eastAsia" w:ascii="新宋体" w:hAnsi="新宋体" w:eastAsia="新宋体" w:cs="宋体"/>
          <w:color w:val="333333"/>
          <w:kern w:val="0"/>
          <w:sz w:val="24"/>
          <w:szCs w:val="24"/>
        </w:rPr>
        <w:t>科目说明：（考试用具要求）需要计算器</w:t>
      </w:r>
    </w:p>
    <w:tbl>
      <w:tblPr>
        <w:tblStyle w:val="4"/>
        <w:tblW w:w="5000" w:type="pct"/>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8328"/>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5000" w:type="pct"/>
            <w:tcBorders>
              <w:top w:val="single" w:color="000000" w:sz="6" w:space="0"/>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widowControl/>
              <w:spacing w:line="300" w:lineRule="atLeast"/>
              <w:jc w:val="left"/>
              <w:rPr>
                <w:rFonts w:ascii="新宋体" w:hAnsi="新宋体" w:eastAsia="新宋体" w:cs="宋体"/>
                <w:color w:val="333333"/>
                <w:kern w:val="0"/>
                <w:sz w:val="24"/>
                <w:szCs w:val="24"/>
              </w:rPr>
            </w:pPr>
            <w:r>
              <w:rPr>
                <w:rFonts w:hint="eastAsia" w:ascii="新宋体" w:hAnsi="新宋体" w:eastAsia="新宋体" w:cs="宋体"/>
                <w:color w:val="333333"/>
                <w:kern w:val="0"/>
                <w:sz w:val="24"/>
                <w:szCs w:val="24"/>
              </w:rPr>
              <w:t>一、考试基本要求</w:t>
            </w:r>
          </w:p>
          <w:p>
            <w:pPr>
              <w:spacing w:line="300" w:lineRule="auto"/>
              <w:ind w:left="105" w:leftChars="50" w:right="105" w:rightChars="50" w:firstLine="420" w:firstLineChars="200"/>
              <w:rPr>
                <w:szCs w:val="21"/>
              </w:rPr>
            </w:pPr>
            <w:r>
              <w:rPr>
                <w:rFonts w:hint="eastAsia"/>
                <w:szCs w:val="21"/>
              </w:rPr>
              <w:t>本考试大纲适用于报考闽南师范大学无机化学专业和学科教学（化学）的硕士研究生入学考试。要求考生全面系统地掌握无机化学的基本概念、基本理论、基本计算，并能很好地解释无机化学中的一些现象和事实，具备较强的分析问题和解决问题的能力。</w:t>
            </w:r>
          </w:p>
          <w:p>
            <w:pPr>
              <w:widowControl/>
              <w:spacing w:line="300" w:lineRule="atLeast"/>
              <w:jc w:val="left"/>
              <w:rPr>
                <w:rFonts w:ascii="新宋体" w:hAnsi="新宋体" w:eastAsia="新宋体" w:cs="宋体"/>
                <w:color w:val="333333"/>
                <w:kern w:val="0"/>
                <w:sz w:val="24"/>
                <w:szCs w:val="24"/>
              </w:rPr>
            </w:pPr>
          </w:p>
          <w:p>
            <w:pPr>
              <w:spacing w:line="300" w:lineRule="auto"/>
              <w:ind w:left="105" w:leftChars="50" w:right="105" w:rightChars="50"/>
              <w:rPr>
                <w:b/>
                <w:szCs w:val="21"/>
              </w:rPr>
            </w:pPr>
            <w:bookmarkStart w:id="0" w:name="OLE_LINK1"/>
            <w:bookmarkStart w:id="1" w:name="OLE_LINK2"/>
            <w:r>
              <w:rPr>
                <w:rFonts w:hint="eastAsia" w:ascii="新宋体" w:hAnsi="新宋体" w:eastAsia="新宋体" w:cs="宋体"/>
                <w:color w:val="333333"/>
                <w:kern w:val="0"/>
                <w:sz w:val="24"/>
                <w:szCs w:val="24"/>
              </w:rPr>
              <w:t>二、考试内容和考试要求</w:t>
            </w:r>
            <w:bookmarkEnd w:id="0"/>
            <w:bookmarkEnd w:id="1"/>
            <w:r>
              <w:rPr>
                <w:rFonts w:hint="eastAsia" w:ascii="新宋体" w:hAnsi="新宋体" w:eastAsia="新宋体" w:cs="宋体"/>
                <w:color w:val="333333"/>
                <w:kern w:val="0"/>
                <w:sz w:val="24"/>
                <w:szCs w:val="24"/>
              </w:rPr>
              <w:br w:type="textWrapping"/>
            </w:r>
            <w:r>
              <w:rPr>
                <w:rFonts w:hint="eastAsia"/>
                <w:b/>
                <w:szCs w:val="21"/>
              </w:rPr>
              <w:t>I．物质结构基础</w:t>
            </w:r>
          </w:p>
          <w:p>
            <w:pPr>
              <w:spacing w:line="300" w:lineRule="auto"/>
              <w:ind w:left="105" w:leftChars="50" w:right="105" w:rightChars="50"/>
              <w:rPr>
                <w:szCs w:val="21"/>
              </w:rPr>
            </w:pPr>
            <w:r>
              <w:rPr>
                <w:rFonts w:hint="eastAsia"/>
                <w:szCs w:val="21"/>
              </w:rPr>
              <w:t>1．原子结构</w:t>
            </w:r>
          </w:p>
          <w:p>
            <w:pPr>
              <w:numPr>
                <w:ilvl w:val="0"/>
                <w:numId w:val="1"/>
              </w:numPr>
              <w:spacing w:line="300" w:lineRule="auto"/>
              <w:ind w:left="628" w:leftChars="199" w:right="105" w:rightChars="50" w:hanging="210" w:hangingChars="100"/>
              <w:rPr>
                <w:szCs w:val="21"/>
              </w:rPr>
            </w:pPr>
            <w:r>
              <w:rPr>
                <w:rFonts w:hint="eastAsia"/>
                <w:szCs w:val="21"/>
              </w:rPr>
              <w:t>熟悉四个量子数的名称、符号、取值和意义；熟悉s、p、d原子轨道与电子云的形状和空间的伸展方向；</w:t>
            </w:r>
          </w:p>
          <w:p>
            <w:pPr>
              <w:numPr>
                <w:ilvl w:val="0"/>
                <w:numId w:val="1"/>
              </w:numPr>
              <w:spacing w:line="300" w:lineRule="auto"/>
              <w:ind w:left="628" w:leftChars="199" w:right="105" w:rightChars="50" w:hanging="210" w:hangingChars="100"/>
              <w:rPr>
                <w:szCs w:val="21"/>
              </w:rPr>
            </w:pPr>
            <w:r>
              <w:rPr>
                <w:rFonts w:hint="eastAsia"/>
                <w:szCs w:val="21"/>
              </w:rPr>
              <w:t>掌握多电子原子轨道近似能级图和核外电子排布，并能确定它们在周期表中的位置；</w:t>
            </w:r>
          </w:p>
          <w:p>
            <w:pPr>
              <w:numPr>
                <w:ilvl w:val="0"/>
                <w:numId w:val="1"/>
              </w:numPr>
              <w:spacing w:line="300" w:lineRule="auto"/>
              <w:ind w:left="628" w:leftChars="199" w:right="105" w:rightChars="50" w:hanging="210" w:hangingChars="100"/>
              <w:rPr>
                <w:szCs w:val="21"/>
              </w:rPr>
            </w:pPr>
            <w:r>
              <w:rPr>
                <w:rFonts w:hint="eastAsia"/>
                <w:szCs w:val="21"/>
              </w:rPr>
              <w:t>掌握周期表元素的分区、结构特征；熟悉原子半径、电离能、电子亲和能和电负性的变化规律。</w:t>
            </w:r>
          </w:p>
          <w:p>
            <w:pPr>
              <w:spacing w:line="300" w:lineRule="auto"/>
              <w:ind w:left="105" w:leftChars="50" w:right="105" w:rightChars="50"/>
              <w:rPr>
                <w:szCs w:val="21"/>
              </w:rPr>
            </w:pPr>
            <w:r>
              <w:rPr>
                <w:rFonts w:hint="eastAsia"/>
                <w:szCs w:val="21"/>
              </w:rPr>
              <w:t>2．化学键与分子结构</w:t>
            </w:r>
          </w:p>
          <w:p>
            <w:pPr>
              <w:numPr>
                <w:ilvl w:val="0"/>
                <w:numId w:val="1"/>
              </w:numPr>
              <w:spacing w:line="300" w:lineRule="auto"/>
              <w:ind w:left="680" w:leftChars="199" w:right="105" w:rightChars="50" w:hanging="262" w:hangingChars="125"/>
              <w:rPr>
                <w:szCs w:val="21"/>
              </w:rPr>
            </w:pPr>
            <w:r>
              <w:rPr>
                <w:rFonts w:hint="eastAsia"/>
                <w:szCs w:val="21"/>
              </w:rPr>
              <w:t>掌握离子键的形成与特点，离子的特征，晶格能，共价键的本质、原理和特点，键参数与分子的性质；</w:t>
            </w:r>
          </w:p>
          <w:p>
            <w:pPr>
              <w:numPr>
                <w:ilvl w:val="0"/>
                <w:numId w:val="1"/>
              </w:numPr>
              <w:spacing w:line="300" w:lineRule="auto"/>
              <w:ind w:left="665" w:leftChars="199" w:right="105" w:rightChars="50" w:hanging="247" w:hangingChars="118"/>
              <w:rPr>
                <w:szCs w:val="21"/>
              </w:rPr>
            </w:pPr>
            <w:r>
              <w:rPr>
                <w:szCs w:val="21"/>
              </w:rPr>
              <w:t>熟悉杂化轨道类型</w:t>
            </w:r>
            <w:r>
              <w:rPr>
                <w:rFonts w:hint="eastAsia"/>
                <w:szCs w:val="21"/>
              </w:rPr>
              <w:t>（</w:t>
            </w:r>
            <w:r>
              <w:rPr>
                <w:szCs w:val="21"/>
              </w:rPr>
              <w:t>sp，sp</w:t>
            </w:r>
            <w:r>
              <w:rPr>
                <w:szCs w:val="21"/>
                <w:vertAlign w:val="superscript"/>
              </w:rPr>
              <w:t>2</w:t>
            </w:r>
            <w:r>
              <w:rPr>
                <w:szCs w:val="21"/>
              </w:rPr>
              <w:t>，sp</w:t>
            </w:r>
            <w:r>
              <w:rPr>
                <w:szCs w:val="21"/>
                <w:vertAlign w:val="superscript"/>
              </w:rPr>
              <w:t>3</w:t>
            </w:r>
            <w:r>
              <w:rPr>
                <w:szCs w:val="21"/>
              </w:rPr>
              <w:t>，sp</w:t>
            </w:r>
            <w:r>
              <w:rPr>
                <w:szCs w:val="21"/>
                <w:vertAlign w:val="superscript"/>
              </w:rPr>
              <w:t>3</w:t>
            </w:r>
            <w:r>
              <w:rPr>
                <w:szCs w:val="21"/>
              </w:rPr>
              <w:t>d，sp</w:t>
            </w:r>
            <w:r>
              <w:rPr>
                <w:szCs w:val="21"/>
                <w:vertAlign w:val="superscript"/>
              </w:rPr>
              <w:t>3</w:t>
            </w:r>
            <w:r>
              <w:rPr>
                <w:szCs w:val="21"/>
              </w:rPr>
              <w:t>d</w:t>
            </w:r>
            <w:r>
              <w:rPr>
                <w:szCs w:val="21"/>
                <w:vertAlign w:val="superscript"/>
              </w:rPr>
              <w:t>2</w:t>
            </w:r>
            <w:r>
              <w:rPr>
                <w:rFonts w:hint="eastAsia"/>
                <w:szCs w:val="21"/>
              </w:rPr>
              <w:t>等）</w:t>
            </w:r>
            <w:r>
              <w:rPr>
                <w:szCs w:val="21"/>
              </w:rPr>
              <w:t>与分子</w:t>
            </w:r>
            <w:r>
              <w:rPr>
                <w:rFonts w:hint="eastAsia"/>
                <w:szCs w:val="21"/>
              </w:rPr>
              <w:t>或多原子离子</w:t>
            </w:r>
            <w:r>
              <w:rPr>
                <w:szCs w:val="21"/>
              </w:rPr>
              <w:t>构型的关系</w:t>
            </w:r>
            <w:r>
              <w:rPr>
                <w:rFonts w:hint="eastAsia"/>
                <w:szCs w:val="21"/>
              </w:rPr>
              <w:t>；</w:t>
            </w:r>
          </w:p>
          <w:p>
            <w:pPr>
              <w:numPr>
                <w:ilvl w:val="0"/>
                <w:numId w:val="1"/>
              </w:numPr>
              <w:spacing w:line="300" w:lineRule="auto"/>
              <w:ind w:left="680" w:leftChars="199" w:right="105" w:rightChars="50" w:hanging="262" w:hangingChars="125"/>
              <w:rPr>
                <w:szCs w:val="21"/>
              </w:rPr>
            </w:pPr>
            <w:r>
              <w:rPr>
                <w:rFonts w:hint="eastAsia"/>
                <w:szCs w:val="21"/>
              </w:rPr>
              <w:t>了解价层电子对互斥理论的要点以及用该理论推测简单分子或多原子离子的几何构型的方法；</w:t>
            </w:r>
          </w:p>
          <w:p>
            <w:pPr>
              <w:numPr>
                <w:ilvl w:val="0"/>
                <w:numId w:val="1"/>
              </w:numPr>
              <w:spacing w:line="300" w:lineRule="auto"/>
              <w:ind w:left="680" w:leftChars="199" w:right="105" w:rightChars="50" w:hanging="262" w:hangingChars="125"/>
              <w:rPr>
                <w:szCs w:val="21"/>
              </w:rPr>
            </w:pPr>
            <w:r>
              <w:rPr>
                <w:szCs w:val="21"/>
              </w:rPr>
              <w:t>了解分子轨道的概念及</w:t>
            </w:r>
            <w:r>
              <w:rPr>
                <w:rFonts w:hint="eastAsia"/>
                <w:szCs w:val="21"/>
              </w:rPr>
              <w:t>熟悉</w:t>
            </w:r>
            <w:r>
              <w:rPr>
                <w:szCs w:val="21"/>
              </w:rPr>
              <w:t>第二周期元素同核双原子分子的能级图</w:t>
            </w:r>
            <w:r>
              <w:rPr>
                <w:rFonts w:hint="eastAsia"/>
                <w:szCs w:val="21"/>
              </w:rPr>
              <w:t>；</w:t>
            </w:r>
          </w:p>
          <w:p>
            <w:pPr>
              <w:numPr>
                <w:ilvl w:val="0"/>
                <w:numId w:val="1"/>
              </w:numPr>
              <w:spacing w:line="300" w:lineRule="auto"/>
              <w:ind w:left="418" w:leftChars="199" w:right="105" w:rightChars="50" w:firstLine="0"/>
              <w:rPr>
                <w:szCs w:val="21"/>
              </w:rPr>
            </w:pPr>
            <w:r>
              <w:rPr>
                <w:szCs w:val="21"/>
              </w:rPr>
              <w:t>了解晶体</w:t>
            </w:r>
            <w:r>
              <w:rPr>
                <w:rFonts w:hint="eastAsia"/>
                <w:szCs w:val="21"/>
              </w:rPr>
              <w:t>的</w:t>
            </w:r>
            <w:r>
              <w:rPr>
                <w:szCs w:val="21"/>
              </w:rPr>
              <w:t>四种基本类型</w:t>
            </w:r>
            <w:r>
              <w:rPr>
                <w:rFonts w:hint="eastAsia"/>
                <w:szCs w:val="21"/>
              </w:rPr>
              <w:t>、特征和组成晶体的微粒间的作用力</w:t>
            </w:r>
            <w:r>
              <w:rPr>
                <w:szCs w:val="21"/>
              </w:rPr>
              <w:t>及物理特性</w:t>
            </w:r>
            <w:r>
              <w:rPr>
                <w:rFonts w:hint="eastAsia"/>
                <w:szCs w:val="21"/>
              </w:rPr>
              <w:t>；</w:t>
            </w:r>
          </w:p>
          <w:p>
            <w:pPr>
              <w:numPr>
                <w:ilvl w:val="0"/>
                <w:numId w:val="1"/>
              </w:numPr>
              <w:spacing w:line="300" w:lineRule="auto"/>
              <w:ind w:left="418" w:leftChars="199" w:right="105" w:rightChars="50" w:firstLine="0"/>
              <w:rPr>
                <w:szCs w:val="21"/>
              </w:rPr>
            </w:pPr>
            <w:r>
              <w:rPr>
                <w:rFonts w:hint="eastAsia"/>
                <w:szCs w:val="21"/>
              </w:rPr>
              <w:t>了解</w:t>
            </w:r>
            <w:r>
              <w:rPr>
                <w:szCs w:val="21"/>
              </w:rPr>
              <w:t xml:space="preserve">离子极化、分子间力、氢键及其对物质性质的影响。 </w:t>
            </w:r>
          </w:p>
          <w:p>
            <w:pPr>
              <w:spacing w:line="300" w:lineRule="auto"/>
              <w:ind w:left="105" w:leftChars="50" w:right="105" w:rightChars="50"/>
              <w:rPr>
                <w:szCs w:val="21"/>
              </w:rPr>
            </w:pPr>
            <w:r>
              <w:rPr>
                <w:rFonts w:hint="eastAsia"/>
                <w:szCs w:val="21"/>
              </w:rPr>
              <w:t>3．配位化合物</w:t>
            </w:r>
          </w:p>
          <w:p>
            <w:pPr>
              <w:numPr>
                <w:ilvl w:val="0"/>
                <w:numId w:val="1"/>
              </w:numPr>
              <w:spacing w:line="300" w:lineRule="auto"/>
              <w:ind w:left="418" w:leftChars="199" w:right="105" w:rightChars="50"/>
              <w:rPr>
                <w:b/>
                <w:szCs w:val="21"/>
              </w:rPr>
            </w:pPr>
            <w:r>
              <w:rPr>
                <w:szCs w:val="21"/>
              </w:rPr>
              <w:t>了解配合物的定义、组成和命名</w:t>
            </w:r>
            <w:r>
              <w:rPr>
                <w:rFonts w:hint="eastAsia"/>
                <w:szCs w:val="21"/>
              </w:rPr>
              <w:t>；</w:t>
            </w:r>
          </w:p>
          <w:p>
            <w:pPr>
              <w:numPr>
                <w:ilvl w:val="0"/>
                <w:numId w:val="1"/>
              </w:numPr>
              <w:spacing w:line="300" w:lineRule="auto"/>
              <w:ind w:left="680" w:leftChars="199" w:right="105" w:rightChars="50" w:hanging="262" w:hangingChars="125"/>
              <w:rPr>
                <w:b/>
                <w:szCs w:val="21"/>
              </w:rPr>
            </w:pPr>
            <w:r>
              <w:rPr>
                <w:szCs w:val="21"/>
              </w:rPr>
              <w:t>熟悉配合物的价健理论</w:t>
            </w:r>
            <w:r>
              <w:rPr>
                <w:rFonts w:hint="eastAsia"/>
                <w:szCs w:val="21"/>
              </w:rPr>
              <w:t>，掌握配合物几何结构与中心离子杂化轨道之间的关系，了解内轨型、外轨型配合物的概念、中心离子价电子排布与配离子稳定性、磁性的关系；</w:t>
            </w:r>
          </w:p>
          <w:p>
            <w:pPr>
              <w:numPr>
                <w:ilvl w:val="0"/>
                <w:numId w:val="1"/>
              </w:numPr>
              <w:spacing w:line="300" w:lineRule="auto"/>
              <w:ind w:left="680" w:leftChars="199" w:right="105" w:rightChars="50" w:hanging="262" w:hangingChars="125"/>
              <w:rPr>
                <w:b/>
                <w:szCs w:val="21"/>
              </w:rPr>
            </w:pPr>
            <w:r>
              <w:rPr>
                <w:szCs w:val="21"/>
              </w:rPr>
              <w:t>了解晶体场理论</w:t>
            </w:r>
            <w:r>
              <w:rPr>
                <w:rFonts w:hint="eastAsia"/>
                <w:szCs w:val="21"/>
              </w:rPr>
              <w:t>，八面体场中d电子的分布和高、低自旋的概念，推测配合物的稳定性、磁性及配合物的颜色与d-d跃迁的关系。</w:t>
            </w:r>
          </w:p>
          <w:p>
            <w:pPr>
              <w:spacing w:line="300" w:lineRule="auto"/>
              <w:ind w:left="682" w:right="105" w:rightChars="50" w:hanging="264"/>
              <w:rPr>
                <w:b/>
                <w:szCs w:val="21"/>
              </w:rPr>
            </w:pPr>
          </w:p>
          <w:p>
            <w:pPr>
              <w:spacing w:line="300" w:lineRule="auto"/>
              <w:ind w:left="105" w:leftChars="50" w:right="105" w:rightChars="50"/>
              <w:rPr>
                <w:b/>
                <w:szCs w:val="21"/>
              </w:rPr>
            </w:pPr>
            <w:r>
              <w:rPr>
                <w:rFonts w:hint="eastAsia"/>
                <w:b/>
                <w:szCs w:val="21"/>
              </w:rPr>
              <w:t>II．化学反应原理</w:t>
            </w:r>
          </w:p>
          <w:p>
            <w:pPr>
              <w:spacing w:line="300" w:lineRule="auto"/>
              <w:ind w:left="105" w:leftChars="50" w:right="105" w:rightChars="50"/>
              <w:rPr>
                <w:szCs w:val="21"/>
              </w:rPr>
            </w:pPr>
            <w:r>
              <w:rPr>
                <w:rFonts w:hint="eastAsia"/>
                <w:szCs w:val="21"/>
              </w:rPr>
              <w:t>4．气体</w:t>
            </w:r>
          </w:p>
          <w:p>
            <w:pPr>
              <w:numPr>
                <w:ilvl w:val="0"/>
                <w:numId w:val="1"/>
              </w:numPr>
              <w:spacing w:line="300" w:lineRule="auto"/>
              <w:ind w:left="418" w:leftChars="199" w:right="105" w:rightChars="50" w:firstLine="0"/>
              <w:rPr>
                <w:szCs w:val="21"/>
              </w:rPr>
            </w:pPr>
            <w:r>
              <w:rPr>
                <w:szCs w:val="21"/>
              </w:rPr>
              <w:t>掌握理想气体状态方程式及其应用</w:t>
            </w:r>
            <w:r>
              <w:rPr>
                <w:rFonts w:hint="eastAsia"/>
                <w:szCs w:val="21"/>
              </w:rPr>
              <w:t>；</w:t>
            </w:r>
          </w:p>
          <w:p>
            <w:pPr>
              <w:numPr>
                <w:ilvl w:val="0"/>
                <w:numId w:val="1"/>
              </w:numPr>
              <w:spacing w:line="300" w:lineRule="auto"/>
              <w:ind w:left="418" w:leftChars="199" w:right="105" w:rightChars="50" w:firstLine="0"/>
              <w:rPr>
                <w:szCs w:val="21"/>
              </w:rPr>
            </w:pPr>
            <w:r>
              <w:rPr>
                <w:szCs w:val="21"/>
              </w:rPr>
              <w:t>掌握混合气体中组分气体分压的概念和分压定律</w:t>
            </w:r>
            <w:r>
              <w:rPr>
                <w:rFonts w:hint="eastAsia"/>
                <w:szCs w:val="21"/>
              </w:rPr>
              <w:t>。</w:t>
            </w:r>
          </w:p>
          <w:p>
            <w:pPr>
              <w:spacing w:line="300" w:lineRule="auto"/>
              <w:ind w:left="105" w:leftChars="50" w:right="105" w:rightChars="50"/>
              <w:rPr>
                <w:szCs w:val="21"/>
              </w:rPr>
            </w:pPr>
            <w:r>
              <w:rPr>
                <w:rFonts w:hint="eastAsia"/>
                <w:szCs w:val="21"/>
              </w:rPr>
              <w:t>5．化学热力学初步</w:t>
            </w:r>
          </w:p>
          <w:p>
            <w:pPr>
              <w:numPr>
                <w:ilvl w:val="0"/>
                <w:numId w:val="1"/>
              </w:numPr>
              <w:spacing w:line="300" w:lineRule="auto"/>
              <w:ind w:left="638" w:leftChars="199" w:right="105" w:rightChars="50" w:hanging="220" w:hangingChars="105"/>
              <w:rPr>
                <w:szCs w:val="21"/>
              </w:rPr>
            </w:pPr>
            <w:r>
              <w:rPr>
                <w:rFonts w:hint="eastAsia"/>
                <w:szCs w:val="21"/>
              </w:rPr>
              <w:t>掌握热力学基本概念、热力学第一定律；</w:t>
            </w:r>
          </w:p>
          <w:p>
            <w:pPr>
              <w:numPr>
                <w:ilvl w:val="0"/>
                <w:numId w:val="1"/>
              </w:numPr>
              <w:spacing w:line="300" w:lineRule="auto"/>
              <w:ind w:left="638" w:leftChars="199" w:right="105" w:rightChars="50" w:hanging="220" w:hangingChars="105"/>
              <w:rPr>
                <w:szCs w:val="21"/>
              </w:rPr>
            </w:pPr>
            <w:r>
              <w:rPr>
                <w:rFonts w:hint="eastAsia"/>
                <w:szCs w:val="21"/>
              </w:rPr>
              <w:t>掌握热化学方程式、反应焓变、Hess定律及有关计算；</w:t>
            </w:r>
          </w:p>
          <w:p>
            <w:pPr>
              <w:numPr>
                <w:ilvl w:val="0"/>
                <w:numId w:val="1"/>
              </w:numPr>
              <w:spacing w:line="300" w:lineRule="auto"/>
              <w:ind w:left="638" w:leftChars="199" w:right="105" w:rightChars="50" w:hanging="220" w:hangingChars="105"/>
              <w:rPr>
                <w:szCs w:val="21"/>
              </w:rPr>
            </w:pPr>
            <w:r>
              <w:rPr>
                <w:rFonts w:hint="eastAsia"/>
                <w:szCs w:val="21"/>
              </w:rPr>
              <w:t>熟悉焓与摩尔焓变、标准摩尔生成焓（</w:t>
            </w:r>
            <w:r>
              <w:rPr>
                <w:rFonts w:hint="eastAsia"/>
                <w:color w:val="333333"/>
                <w:szCs w:val="21"/>
              </w:rPr>
              <w:sym w:font="Symbol" w:char="F044"/>
            </w:r>
            <w:r>
              <w:rPr>
                <w:rFonts w:hint="eastAsia"/>
                <w:color w:val="333333"/>
                <w:szCs w:val="21"/>
                <w:vertAlign w:val="subscript"/>
              </w:rPr>
              <w:t>f</w:t>
            </w:r>
            <w:r>
              <w:rPr>
                <w:i/>
                <w:iCs/>
                <w:color w:val="333333"/>
                <w:szCs w:val="21"/>
              </w:rPr>
              <w:t>H</w:t>
            </w:r>
            <w:r>
              <w:rPr>
                <w:color w:val="333333"/>
                <w:szCs w:val="21"/>
                <w:vertAlign w:val="subscript"/>
              </w:rPr>
              <w:t>m</w:t>
            </w:r>
            <w:r>
              <w:rPr>
                <w:color w:val="333333"/>
                <w:position w:val="6"/>
                <w:szCs w:val="21"/>
                <w:vertAlign w:val="superscript"/>
              </w:rPr>
              <w:sym w:font="Webdings" w:char="F079"/>
            </w:r>
            <w:r>
              <w:rPr>
                <w:rFonts w:hint="eastAsia"/>
                <w:szCs w:val="21"/>
              </w:rPr>
              <w:t>）、</w:t>
            </w:r>
            <w:r>
              <w:rPr>
                <w:rFonts w:hint="eastAsia"/>
                <w:color w:val="333333"/>
                <w:szCs w:val="21"/>
              </w:rPr>
              <w:t>标准摩尔熵（</w:t>
            </w:r>
            <w:r>
              <w:rPr>
                <w:i/>
                <w:iCs/>
                <w:color w:val="333333"/>
                <w:szCs w:val="21"/>
              </w:rPr>
              <w:t>S</w:t>
            </w:r>
            <w:r>
              <w:rPr>
                <w:color w:val="333333"/>
                <w:szCs w:val="21"/>
                <w:vertAlign w:val="subscript"/>
              </w:rPr>
              <w:t>m</w:t>
            </w:r>
            <w:r>
              <w:rPr>
                <w:color w:val="333333"/>
                <w:position w:val="6"/>
                <w:szCs w:val="21"/>
                <w:vertAlign w:val="superscript"/>
              </w:rPr>
              <w:sym w:font="Webdings" w:char="F079"/>
            </w:r>
            <w:r>
              <w:rPr>
                <w:rFonts w:hint="eastAsia"/>
                <w:color w:val="333333"/>
                <w:szCs w:val="21"/>
              </w:rPr>
              <w:t>）、标准摩尔生成Gibbs函数</w:t>
            </w:r>
            <w:r>
              <w:rPr>
                <w:rFonts w:hint="eastAsia"/>
                <w:szCs w:val="21"/>
              </w:rPr>
              <w:t>（</w:t>
            </w:r>
            <w:r>
              <w:rPr>
                <w:rFonts w:hint="eastAsia"/>
                <w:color w:val="333333"/>
                <w:szCs w:val="21"/>
              </w:rPr>
              <w:sym w:font="Symbol" w:char="F044"/>
            </w:r>
            <w:r>
              <w:rPr>
                <w:rFonts w:hint="eastAsia"/>
                <w:color w:val="333333"/>
                <w:szCs w:val="21"/>
                <w:vertAlign w:val="subscript"/>
              </w:rPr>
              <w:t>f</w:t>
            </w:r>
            <w:r>
              <w:rPr>
                <w:rFonts w:hint="eastAsia"/>
                <w:i/>
                <w:iCs/>
                <w:color w:val="333333"/>
                <w:szCs w:val="21"/>
              </w:rPr>
              <w:t>G</w:t>
            </w:r>
            <w:r>
              <w:rPr>
                <w:color w:val="333333"/>
                <w:szCs w:val="21"/>
                <w:vertAlign w:val="subscript"/>
              </w:rPr>
              <w:t>m</w:t>
            </w:r>
            <w:r>
              <w:rPr>
                <w:color w:val="333333"/>
                <w:position w:val="6"/>
                <w:szCs w:val="21"/>
                <w:vertAlign w:val="superscript"/>
              </w:rPr>
              <w:sym w:font="Webdings" w:char="F079"/>
            </w:r>
            <w:r>
              <w:rPr>
                <w:rFonts w:hint="eastAsia"/>
                <w:szCs w:val="21"/>
              </w:rPr>
              <w:t>）</w:t>
            </w:r>
            <w:r>
              <w:rPr>
                <w:rFonts w:hint="eastAsia"/>
                <w:color w:val="333333"/>
                <w:szCs w:val="21"/>
              </w:rPr>
              <w:t>的概念；掌握反应的标准摩尔熵变</w:t>
            </w:r>
            <w:r>
              <w:rPr>
                <w:rFonts w:hint="eastAsia"/>
                <w:szCs w:val="21"/>
              </w:rPr>
              <w:t>（</w:t>
            </w:r>
            <w:r>
              <w:rPr>
                <w:rFonts w:hint="eastAsia"/>
                <w:color w:val="333333"/>
                <w:szCs w:val="21"/>
              </w:rPr>
              <w:sym w:font="Symbol" w:char="F044"/>
            </w:r>
            <w:r>
              <w:rPr>
                <w:rFonts w:hint="eastAsia"/>
                <w:color w:val="333333"/>
                <w:szCs w:val="21"/>
                <w:vertAlign w:val="subscript"/>
              </w:rPr>
              <w:t>r</w:t>
            </w:r>
            <w:r>
              <w:rPr>
                <w:rFonts w:hint="eastAsia"/>
                <w:i/>
                <w:iCs/>
                <w:color w:val="333333"/>
                <w:szCs w:val="21"/>
              </w:rPr>
              <w:t>S</w:t>
            </w:r>
            <w:r>
              <w:rPr>
                <w:color w:val="333333"/>
                <w:szCs w:val="21"/>
                <w:vertAlign w:val="subscript"/>
              </w:rPr>
              <w:t>m</w:t>
            </w:r>
            <w:r>
              <w:rPr>
                <w:color w:val="333333"/>
                <w:position w:val="6"/>
                <w:szCs w:val="21"/>
                <w:vertAlign w:val="superscript"/>
              </w:rPr>
              <w:sym w:font="Webdings" w:char="F079"/>
            </w:r>
            <w:r>
              <w:rPr>
                <w:rFonts w:hint="eastAsia"/>
                <w:szCs w:val="21"/>
              </w:rPr>
              <w:t>）</w:t>
            </w:r>
            <w:r>
              <w:rPr>
                <w:rFonts w:hint="eastAsia"/>
                <w:color w:val="333333"/>
                <w:szCs w:val="21"/>
              </w:rPr>
              <w:t>和反应的摩尔Gibbs函数变</w:t>
            </w:r>
            <w:r>
              <w:rPr>
                <w:rFonts w:hint="eastAsia"/>
                <w:szCs w:val="21"/>
              </w:rPr>
              <w:t>（</w:t>
            </w:r>
            <w:r>
              <w:rPr>
                <w:rFonts w:hint="eastAsia"/>
                <w:color w:val="333333"/>
                <w:szCs w:val="21"/>
              </w:rPr>
              <w:sym w:font="Symbol" w:char="F044"/>
            </w:r>
            <w:r>
              <w:rPr>
                <w:rFonts w:hint="eastAsia"/>
                <w:color w:val="333333"/>
                <w:szCs w:val="21"/>
                <w:vertAlign w:val="subscript"/>
              </w:rPr>
              <w:t>r</w:t>
            </w:r>
            <w:r>
              <w:rPr>
                <w:rFonts w:hint="eastAsia"/>
                <w:i/>
                <w:iCs/>
                <w:color w:val="333333"/>
                <w:szCs w:val="21"/>
              </w:rPr>
              <w:t>G</w:t>
            </w:r>
            <w:r>
              <w:rPr>
                <w:color w:val="333333"/>
                <w:szCs w:val="21"/>
                <w:vertAlign w:val="subscript"/>
              </w:rPr>
              <w:t>m</w:t>
            </w:r>
            <w:r>
              <w:rPr>
                <w:color w:val="333333"/>
                <w:position w:val="6"/>
                <w:szCs w:val="21"/>
                <w:vertAlign w:val="superscript"/>
              </w:rPr>
              <w:sym w:font="Webdings" w:char="F079"/>
            </w:r>
            <w:r>
              <w:rPr>
                <w:rFonts w:hint="eastAsia"/>
                <w:szCs w:val="21"/>
              </w:rPr>
              <w:t>）</w:t>
            </w:r>
            <w:r>
              <w:rPr>
                <w:rFonts w:hint="eastAsia"/>
                <w:color w:val="333333"/>
                <w:szCs w:val="21"/>
              </w:rPr>
              <w:t>的简单计算；了解</w:t>
            </w:r>
            <w:r>
              <w:rPr>
                <w:rFonts w:hint="eastAsia"/>
                <w:color w:val="333333"/>
                <w:szCs w:val="21"/>
              </w:rPr>
              <w:sym w:font="Symbol" w:char="F044"/>
            </w:r>
            <w:r>
              <w:rPr>
                <w:color w:val="333333"/>
                <w:szCs w:val="21"/>
                <w:vertAlign w:val="subscript"/>
              </w:rPr>
              <w:t>r</w:t>
            </w:r>
            <w:r>
              <w:rPr>
                <w:i/>
                <w:iCs/>
                <w:color w:val="333333"/>
                <w:szCs w:val="21"/>
              </w:rPr>
              <w:t>G</w:t>
            </w:r>
            <w:r>
              <w:rPr>
                <w:color w:val="333333"/>
                <w:szCs w:val="21"/>
                <w:vertAlign w:val="subscript"/>
              </w:rPr>
              <w:t>m</w:t>
            </w:r>
            <w:r>
              <w:rPr>
                <w:rFonts w:hint="eastAsia"/>
                <w:color w:val="333333"/>
                <w:szCs w:val="21"/>
              </w:rPr>
              <w:t xml:space="preserve"> 与</w:t>
            </w:r>
            <w:r>
              <w:rPr>
                <w:rFonts w:hint="eastAsia"/>
                <w:color w:val="333333"/>
                <w:szCs w:val="21"/>
              </w:rPr>
              <w:sym w:font="Symbol" w:char="F044"/>
            </w:r>
            <w:r>
              <w:rPr>
                <w:color w:val="333333"/>
                <w:szCs w:val="21"/>
                <w:vertAlign w:val="subscript"/>
              </w:rPr>
              <w:t>r</w:t>
            </w:r>
            <w:r>
              <w:rPr>
                <w:i/>
                <w:iCs/>
                <w:color w:val="333333"/>
                <w:szCs w:val="21"/>
              </w:rPr>
              <w:t>H</w:t>
            </w:r>
            <w:r>
              <w:rPr>
                <w:color w:val="333333"/>
                <w:szCs w:val="21"/>
                <w:vertAlign w:val="subscript"/>
              </w:rPr>
              <w:t>m</w:t>
            </w:r>
            <w:r>
              <w:rPr>
                <w:color w:val="333333"/>
                <w:szCs w:val="21"/>
              </w:rPr>
              <w:t xml:space="preserve"> </w:t>
            </w:r>
            <w:r>
              <w:rPr>
                <w:rFonts w:hint="eastAsia"/>
                <w:color w:val="333333"/>
                <w:szCs w:val="21"/>
              </w:rPr>
              <w:t>和</w:t>
            </w:r>
            <w:r>
              <w:rPr>
                <w:rFonts w:hint="eastAsia"/>
                <w:color w:val="333333"/>
                <w:szCs w:val="21"/>
              </w:rPr>
              <w:sym w:font="Symbol" w:char="F044"/>
            </w:r>
            <w:r>
              <w:rPr>
                <w:color w:val="333333"/>
                <w:szCs w:val="21"/>
                <w:vertAlign w:val="subscript"/>
              </w:rPr>
              <w:t>r</w:t>
            </w:r>
            <w:r>
              <w:rPr>
                <w:i/>
                <w:iCs/>
                <w:color w:val="333333"/>
                <w:szCs w:val="21"/>
              </w:rPr>
              <w:t>S</w:t>
            </w:r>
            <w:r>
              <w:rPr>
                <w:color w:val="333333"/>
                <w:szCs w:val="21"/>
                <w:vertAlign w:val="subscript"/>
              </w:rPr>
              <w:t>m</w:t>
            </w:r>
            <w:r>
              <w:rPr>
                <w:rFonts w:hint="eastAsia"/>
                <w:color w:val="333333"/>
                <w:szCs w:val="21"/>
              </w:rPr>
              <w:t>的关系，初步学会用</w:t>
            </w:r>
            <w:r>
              <w:rPr>
                <w:rFonts w:hint="eastAsia"/>
                <w:color w:val="333333"/>
                <w:szCs w:val="21"/>
              </w:rPr>
              <w:sym w:font="Symbol" w:char="F044"/>
            </w:r>
            <w:r>
              <w:rPr>
                <w:color w:val="333333"/>
                <w:szCs w:val="21"/>
                <w:vertAlign w:val="subscript"/>
              </w:rPr>
              <w:t>r</w:t>
            </w:r>
            <w:r>
              <w:rPr>
                <w:i/>
                <w:iCs/>
                <w:color w:val="333333"/>
                <w:szCs w:val="21"/>
              </w:rPr>
              <w:t>G</w:t>
            </w:r>
            <w:r>
              <w:rPr>
                <w:color w:val="333333"/>
                <w:szCs w:val="21"/>
                <w:vertAlign w:val="subscript"/>
              </w:rPr>
              <w:t>m</w:t>
            </w:r>
            <w:r>
              <w:rPr>
                <w:rFonts w:hint="eastAsia"/>
                <w:color w:val="333333"/>
                <w:szCs w:val="21"/>
              </w:rPr>
              <w:t>和</w:t>
            </w:r>
            <w:r>
              <w:rPr>
                <w:rFonts w:hint="eastAsia"/>
                <w:color w:val="333333"/>
                <w:szCs w:val="21"/>
              </w:rPr>
              <w:sym w:font="Symbol" w:char="F044"/>
            </w:r>
            <w:r>
              <w:rPr>
                <w:color w:val="333333"/>
                <w:szCs w:val="21"/>
                <w:vertAlign w:val="subscript"/>
              </w:rPr>
              <w:t>r</w:t>
            </w:r>
            <w:r>
              <w:rPr>
                <w:i/>
                <w:iCs/>
                <w:color w:val="333333"/>
                <w:szCs w:val="21"/>
              </w:rPr>
              <w:t>G</w:t>
            </w:r>
            <w:r>
              <w:rPr>
                <w:color w:val="333333"/>
                <w:szCs w:val="21"/>
                <w:vertAlign w:val="subscript"/>
              </w:rPr>
              <w:t>m</w:t>
            </w:r>
            <w:r>
              <w:rPr>
                <w:color w:val="333333"/>
                <w:position w:val="6"/>
                <w:szCs w:val="21"/>
                <w:vertAlign w:val="superscript"/>
              </w:rPr>
              <w:sym w:font="Webdings" w:char="F079"/>
            </w:r>
            <w:r>
              <w:rPr>
                <w:rFonts w:hint="eastAsia"/>
                <w:color w:val="333333"/>
                <w:szCs w:val="21"/>
              </w:rPr>
              <w:t>判断反应进行的方向和程度。</w:t>
            </w:r>
          </w:p>
          <w:p>
            <w:pPr>
              <w:spacing w:line="300" w:lineRule="auto"/>
              <w:ind w:left="105" w:leftChars="50" w:right="105" w:rightChars="50"/>
              <w:rPr>
                <w:szCs w:val="21"/>
              </w:rPr>
            </w:pPr>
            <w:r>
              <w:rPr>
                <w:rFonts w:hint="eastAsia"/>
                <w:szCs w:val="21"/>
              </w:rPr>
              <w:t>6．化学反应速率</w:t>
            </w:r>
          </w:p>
          <w:p>
            <w:pPr>
              <w:numPr>
                <w:ilvl w:val="0"/>
                <w:numId w:val="1"/>
              </w:numPr>
              <w:spacing w:line="300" w:lineRule="auto"/>
              <w:ind w:left="418" w:leftChars="199" w:right="105" w:rightChars="50" w:firstLine="0"/>
              <w:rPr>
                <w:szCs w:val="21"/>
              </w:rPr>
            </w:pPr>
            <w:r>
              <w:rPr>
                <w:szCs w:val="21"/>
              </w:rPr>
              <w:t>了解质量作用定律和阿仑尼乌斯公式以及反应级数的概念</w:t>
            </w:r>
            <w:r>
              <w:rPr>
                <w:rFonts w:hint="eastAsia"/>
                <w:szCs w:val="21"/>
              </w:rPr>
              <w:t>；</w:t>
            </w:r>
          </w:p>
          <w:p>
            <w:pPr>
              <w:numPr>
                <w:ilvl w:val="0"/>
                <w:numId w:val="1"/>
              </w:numPr>
              <w:spacing w:line="300" w:lineRule="auto"/>
              <w:ind w:left="680" w:leftChars="199" w:right="105" w:rightChars="50" w:hanging="262" w:hangingChars="125"/>
              <w:rPr>
                <w:szCs w:val="21"/>
              </w:rPr>
            </w:pPr>
            <w:r>
              <w:rPr>
                <w:szCs w:val="21"/>
              </w:rPr>
              <w:t>能用活化能和活化分子的概念说明浓度、温度、催化剂对反应速率的影响。</w:t>
            </w:r>
          </w:p>
          <w:p>
            <w:pPr>
              <w:spacing w:line="300" w:lineRule="auto"/>
              <w:ind w:left="105" w:leftChars="50" w:right="105" w:rightChars="50"/>
              <w:rPr>
                <w:szCs w:val="21"/>
              </w:rPr>
            </w:pPr>
            <w:r>
              <w:rPr>
                <w:rFonts w:hint="eastAsia"/>
                <w:szCs w:val="21"/>
              </w:rPr>
              <w:t>7．化学平衡</w:t>
            </w:r>
          </w:p>
          <w:p>
            <w:pPr>
              <w:numPr>
                <w:ilvl w:val="0"/>
                <w:numId w:val="1"/>
              </w:numPr>
              <w:spacing w:line="300" w:lineRule="auto"/>
              <w:ind w:left="418" w:leftChars="199" w:right="105" w:rightChars="50" w:firstLine="0"/>
              <w:rPr>
                <w:rFonts w:eastAsia="Arial Unicode MS" w:cs="Arial Unicode MS"/>
                <w:color w:val="333333"/>
                <w:szCs w:val="21"/>
              </w:rPr>
            </w:pPr>
            <w:r>
              <w:rPr>
                <w:rFonts w:hint="eastAsia"/>
                <w:color w:val="333333"/>
                <w:szCs w:val="21"/>
              </w:rPr>
              <w:t>熟悉化学平衡的概念，标准平</w:t>
            </w:r>
            <w:r>
              <w:rPr>
                <w:rFonts w:hint="eastAsia"/>
                <w:szCs w:val="21"/>
              </w:rPr>
              <w:t>衡</w:t>
            </w:r>
            <w:r>
              <w:rPr>
                <w:rFonts w:hint="eastAsia"/>
                <w:color w:val="333333"/>
                <w:szCs w:val="21"/>
              </w:rPr>
              <w:t>常数和平衡组成的计算。</w:t>
            </w:r>
            <w:r>
              <w:rPr>
                <w:rFonts w:eastAsia="Arial Unicode MS" w:cs="Arial Unicode MS"/>
                <w:color w:val="333333"/>
                <w:szCs w:val="21"/>
              </w:rPr>
              <w:tab/>
            </w:r>
          </w:p>
          <w:p>
            <w:pPr>
              <w:numPr>
                <w:ilvl w:val="0"/>
                <w:numId w:val="1"/>
              </w:numPr>
              <w:spacing w:line="300" w:lineRule="auto"/>
              <w:ind w:left="665" w:leftChars="199" w:right="105" w:rightChars="50" w:hanging="247" w:hangingChars="118"/>
              <w:rPr>
                <w:szCs w:val="21"/>
              </w:rPr>
            </w:pPr>
            <w:r>
              <w:rPr>
                <w:rFonts w:hint="eastAsia"/>
                <w:szCs w:val="21"/>
              </w:rPr>
              <w:t>掌握标准平衡常数与标准</w:t>
            </w:r>
            <w:r>
              <w:rPr>
                <w:rFonts w:hint="eastAsia"/>
                <w:color w:val="333333"/>
                <w:szCs w:val="21"/>
              </w:rPr>
              <w:t>Gibbs函数变</w:t>
            </w:r>
            <w:r>
              <w:rPr>
                <w:rFonts w:hint="eastAsia"/>
                <w:szCs w:val="21"/>
              </w:rPr>
              <w:t>的关系、化学平衡移动原理及其相关计算。</w:t>
            </w:r>
            <w:r>
              <w:rPr>
                <w:szCs w:val="21"/>
              </w:rPr>
              <w:t xml:space="preserve"> </w:t>
            </w:r>
          </w:p>
          <w:p>
            <w:pPr>
              <w:spacing w:line="300" w:lineRule="auto"/>
              <w:ind w:left="105" w:leftChars="50" w:right="105" w:rightChars="50"/>
              <w:rPr>
                <w:szCs w:val="21"/>
              </w:rPr>
            </w:pPr>
            <w:r>
              <w:rPr>
                <w:rFonts w:hint="eastAsia"/>
                <w:szCs w:val="21"/>
              </w:rPr>
              <w:t>8．电解质溶液</w:t>
            </w:r>
          </w:p>
          <w:p>
            <w:pPr>
              <w:numPr>
                <w:ilvl w:val="0"/>
                <w:numId w:val="1"/>
              </w:numPr>
              <w:spacing w:line="300" w:lineRule="auto"/>
              <w:ind w:left="418" w:leftChars="199" w:right="105" w:rightChars="50" w:firstLine="0"/>
              <w:rPr>
                <w:szCs w:val="21"/>
              </w:rPr>
            </w:pPr>
            <w:r>
              <w:rPr>
                <w:szCs w:val="21"/>
              </w:rPr>
              <w:t>了解酸碱质子理论的基本概念</w:t>
            </w:r>
            <w:r>
              <w:rPr>
                <w:rFonts w:hint="eastAsia"/>
                <w:szCs w:val="21"/>
              </w:rPr>
              <w:t>；</w:t>
            </w:r>
          </w:p>
          <w:p>
            <w:pPr>
              <w:numPr>
                <w:ilvl w:val="0"/>
                <w:numId w:val="1"/>
              </w:numPr>
              <w:spacing w:line="300" w:lineRule="auto"/>
              <w:ind w:left="628" w:leftChars="199" w:right="105" w:rightChars="50" w:hanging="210" w:hangingChars="100"/>
              <w:rPr>
                <w:szCs w:val="21"/>
              </w:rPr>
            </w:pPr>
            <w:r>
              <w:rPr>
                <w:szCs w:val="21"/>
              </w:rPr>
              <w:t>掌握</w:t>
            </w:r>
            <w:r>
              <w:rPr>
                <w:rFonts w:hint="eastAsia"/>
                <w:szCs w:val="21"/>
              </w:rPr>
              <w:t>弱酸、弱碱的解离平衡</w:t>
            </w:r>
            <w:r>
              <w:rPr>
                <w:szCs w:val="21"/>
              </w:rPr>
              <w:t>、盐类水解、</w:t>
            </w:r>
            <w:r>
              <w:rPr>
                <w:rFonts w:hint="eastAsia"/>
                <w:szCs w:val="21"/>
              </w:rPr>
              <w:t>同离子效应和缓冲溶液的概念，并能进行</w:t>
            </w:r>
            <w:r>
              <w:rPr>
                <w:szCs w:val="21"/>
              </w:rPr>
              <w:t>有关计算</w:t>
            </w:r>
            <w:r>
              <w:rPr>
                <w:rFonts w:hint="eastAsia"/>
                <w:szCs w:val="21"/>
              </w:rPr>
              <w:t>；</w:t>
            </w:r>
          </w:p>
          <w:p>
            <w:pPr>
              <w:numPr>
                <w:ilvl w:val="0"/>
                <w:numId w:val="1"/>
              </w:numPr>
              <w:spacing w:line="300" w:lineRule="auto"/>
              <w:ind w:left="628" w:leftChars="199" w:right="105" w:rightChars="50" w:hanging="210" w:hangingChars="100"/>
              <w:rPr>
                <w:szCs w:val="21"/>
              </w:rPr>
            </w:pPr>
            <w:r>
              <w:rPr>
                <w:rFonts w:hint="eastAsia"/>
                <w:szCs w:val="21"/>
              </w:rPr>
              <w:t>掌握溶度积规则，能用溶度积规则判断沉淀的生成和溶解；</w:t>
            </w:r>
          </w:p>
          <w:p>
            <w:pPr>
              <w:numPr>
                <w:ilvl w:val="0"/>
                <w:numId w:val="1"/>
              </w:numPr>
              <w:spacing w:line="300" w:lineRule="auto"/>
              <w:ind w:left="628" w:leftChars="199" w:right="105" w:rightChars="50" w:hanging="210" w:hangingChars="100"/>
              <w:rPr>
                <w:szCs w:val="21"/>
              </w:rPr>
            </w:pPr>
            <w:r>
              <w:rPr>
                <w:rFonts w:hint="eastAsia"/>
                <w:szCs w:val="21"/>
              </w:rPr>
              <w:t>掌握配合物的生成反应和配位平衡；</w:t>
            </w:r>
          </w:p>
          <w:p>
            <w:pPr>
              <w:numPr>
                <w:ilvl w:val="0"/>
                <w:numId w:val="1"/>
              </w:numPr>
              <w:spacing w:line="300" w:lineRule="auto"/>
              <w:ind w:left="628" w:leftChars="199" w:right="105" w:rightChars="50" w:hanging="210" w:hangingChars="100"/>
              <w:rPr>
                <w:szCs w:val="21"/>
              </w:rPr>
            </w:pPr>
            <w:r>
              <w:rPr>
                <w:rFonts w:hint="eastAsia"/>
                <w:szCs w:val="21"/>
              </w:rPr>
              <w:t>掌握多重平衡原理，并能进行相关计算。</w:t>
            </w:r>
          </w:p>
          <w:p>
            <w:pPr>
              <w:spacing w:line="300" w:lineRule="auto"/>
              <w:ind w:left="105" w:leftChars="50" w:right="105" w:rightChars="50"/>
              <w:rPr>
                <w:szCs w:val="21"/>
              </w:rPr>
            </w:pPr>
            <w:r>
              <w:rPr>
                <w:rFonts w:hint="eastAsia"/>
                <w:szCs w:val="21"/>
              </w:rPr>
              <w:t>9．氧化还原反应</w:t>
            </w:r>
          </w:p>
          <w:p>
            <w:pPr>
              <w:numPr>
                <w:ilvl w:val="0"/>
                <w:numId w:val="1"/>
              </w:numPr>
              <w:spacing w:line="300" w:lineRule="auto"/>
              <w:ind w:left="665" w:leftChars="199" w:right="105" w:rightChars="50" w:hanging="247" w:hangingChars="118"/>
              <w:rPr>
                <w:szCs w:val="21"/>
              </w:rPr>
            </w:pPr>
            <w:r>
              <w:rPr>
                <w:rFonts w:hint="eastAsia"/>
                <w:szCs w:val="21"/>
              </w:rPr>
              <w:t>熟悉氧化还原反应的基本概念，能熟练地配平氧化还原反应方程式；</w:t>
            </w:r>
          </w:p>
          <w:p>
            <w:pPr>
              <w:numPr>
                <w:ilvl w:val="0"/>
                <w:numId w:val="1"/>
              </w:numPr>
              <w:spacing w:line="300" w:lineRule="auto"/>
              <w:ind w:left="665" w:leftChars="199" w:right="105" w:rightChars="50" w:hanging="247" w:hangingChars="118"/>
              <w:rPr>
                <w:szCs w:val="21"/>
              </w:rPr>
            </w:pPr>
            <w:r>
              <w:rPr>
                <w:szCs w:val="21"/>
              </w:rPr>
              <w:t>了解</w:t>
            </w:r>
            <w:r>
              <w:rPr>
                <w:rFonts w:hint="eastAsia"/>
                <w:szCs w:val="21"/>
              </w:rPr>
              <w:t>原电池及其电动势的概念、</w:t>
            </w:r>
            <w:r>
              <w:rPr>
                <w:szCs w:val="21"/>
              </w:rPr>
              <w:t>原电池的组成和表示方法</w:t>
            </w:r>
            <w:r>
              <w:rPr>
                <w:rFonts w:hint="eastAsia"/>
                <w:szCs w:val="21"/>
              </w:rPr>
              <w:t>；</w:t>
            </w:r>
          </w:p>
          <w:p>
            <w:pPr>
              <w:widowControl/>
              <w:spacing w:line="300" w:lineRule="atLeast"/>
              <w:jc w:val="left"/>
              <w:rPr>
                <w:rFonts w:ascii="新宋体" w:hAnsi="新宋体" w:eastAsia="新宋体" w:cs="宋体"/>
                <w:color w:val="333333"/>
                <w:kern w:val="0"/>
                <w:sz w:val="24"/>
                <w:szCs w:val="24"/>
              </w:rPr>
            </w:pPr>
            <w:r>
              <w:rPr>
                <w:rFonts w:hint="eastAsia"/>
                <w:szCs w:val="21"/>
              </w:rPr>
              <w:t>掌握电极电势的概念及其影响因素和应用、Nernst方程式及其有关计算、原电池电动势与反应吉布斯自由能变的关系。</w:t>
            </w:r>
          </w:p>
          <w:p>
            <w:pPr>
              <w:widowControl/>
              <w:spacing w:line="300" w:lineRule="atLeast"/>
              <w:jc w:val="left"/>
              <w:rPr>
                <w:rFonts w:ascii="新宋体" w:hAnsi="新宋体" w:eastAsia="新宋体" w:cs="宋体"/>
                <w:color w:val="333333"/>
                <w:kern w:val="0"/>
                <w:sz w:val="24"/>
                <w:szCs w:val="24"/>
              </w:rPr>
            </w:pPr>
          </w:p>
          <w:p>
            <w:pPr>
              <w:widowControl/>
              <w:numPr>
                <w:ilvl w:val="0"/>
                <w:numId w:val="2"/>
              </w:numPr>
              <w:spacing w:line="300" w:lineRule="atLeast"/>
              <w:jc w:val="left"/>
              <w:rPr>
                <w:rFonts w:ascii="新宋体" w:hAnsi="新宋体" w:eastAsia="新宋体" w:cs="宋体"/>
                <w:color w:val="333333"/>
                <w:kern w:val="0"/>
                <w:sz w:val="24"/>
                <w:szCs w:val="24"/>
              </w:rPr>
            </w:pPr>
            <w:r>
              <w:rPr>
                <w:rFonts w:hint="eastAsia" w:ascii="新宋体" w:hAnsi="新宋体" w:eastAsia="新宋体" w:cs="宋体"/>
                <w:color w:val="333333"/>
                <w:kern w:val="0"/>
                <w:sz w:val="24"/>
                <w:szCs w:val="24"/>
              </w:rPr>
              <w:t>考试基本题型和分值</w:t>
            </w:r>
          </w:p>
          <w:p>
            <w:pPr>
              <w:widowControl/>
              <w:spacing w:line="300" w:lineRule="atLeast"/>
              <w:ind w:firstLine="630" w:firstLineChars="300"/>
              <w:jc w:val="left"/>
              <w:rPr>
                <w:rFonts w:ascii="新宋体" w:hAnsi="新宋体" w:eastAsia="新宋体" w:cs="宋体"/>
                <w:color w:val="333333"/>
                <w:kern w:val="0"/>
                <w:sz w:val="24"/>
                <w:szCs w:val="24"/>
              </w:rPr>
            </w:pPr>
            <w:r>
              <w:rPr>
                <w:rFonts w:hAnsi="宋体"/>
                <w:szCs w:val="21"/>
              </w:rPr>
              <w:t>总分</w:t>
            </w:r>
            <w:r>
              <w:rPr>
                <w:rFonts w:hint="eastAsia" w:hAnsi="宋体"/>
                <w:szCs w:val="21"/>
              </w:rPr>
              <w:t>150分，题型有选择题、填空题、问答题、计算题等。分值如下：</w:t>
            </w:r>
            <w:r>
              <w:rPr>
                <w:rFonts w:hAnsi="宋体"/>
                <w:szCs w:val="21"/>
              </w:rPr>
              <w:t>选择题（</w:t>
            </w:r>
            <w:r>
              <w:rPr>
                <w:rFonts w:hint="eastAsia"/>
                <w:szCs w:val="21"/>
              </w:rPr>
              <w:t>60</w:t>
            </w:r>
            <w:r>
              <w:rPr>
                <w:rFonts w:hAnsi="宋体"/>
                <w:szCs w:val="21"/>
              </w:rPr>
              <w:t>分），填空题（</w:t>
            </w:r>
            <w:r>
              <w:rPr>
                <w:rFonts w:hint="eastAsia"/>
                <w:szCs w:val="21"/>
              </w:rPr>
              <w:t>30</w:t>
            </w:r>
            <w:r>
              <w:rPr>
                <w:rFonts w:hAnsi="宋体"/>
                <w:szCs w:val="21"/>
              </w:rPr>
              <w:t>分）</w:t>
            </w:r>
            <w:r>
              <w:rPr>
                <w:rFonts w:hint="eastAsia" w:hAnsi="宋体"/>
                <w:szCs w:val="21"/>
              </w:rPr>
              <w:t>，</w:t>
            </w:r>
            <w:r>
              <w:rPr>
                <w:rFonts w:hAnsi="宋体"/>
                <w:szCs w:val="21"/>
              </w:rPr>
              <w:t>问答题（</w:t>
            </w:r>
            <w:r>
              <w:rPr>
                <w:rFonts w:hint="eastAsia"/>
                <w:szCs w:val="21"/>
              </w:rPr>
              <w:t>30</w:t>
            </w:r>
            <w:r>
              <w:rPr>
                <w:rFonts w:hAnsi="宋体"/>
                <w:szCs w:val="21"/>
              </w:rPr>
              <w:t>分），计算题（</w:t>
            </w:r>
            <w:r>
              <w:rPr>
                <w:rFonts w:hint="eastAsia"/>
                <w:szCs w:val="21"/>
              </w:rPr>
              <w:t>30</w:t>
            </w:r>
            <w:r>
              <w:rPr>
                <w:rFonts w:hAnsi="宋体"/>
                <w:szCs w:val="21"/>
              </w:rPr>
              <w:t>分）</w:t>
            </w:r>
          </w:p>
          <w:p>
            <w:pPr>
              <w:widowControl/>
              <w:spacing w:line="300" w:lineRule="atLeast"/>
              <w:jc w:val="left"/>
              <w:rPr>
                <w:rFonts w:ascii="新宋体" w:hAnsi="新宋体" w:eastAsia="新宋体" w:cs="宋体"/>
                <w:color w:val="333333"/>
                <w:kern w:val="0"/>
                <w:sz w:val="24"/>
                <w:szCs w:val="24"/>
              </w:rPr>
            </w:pPr>
          </w:p>
          <w:p>
            <w:pPr>
              <w:widowControl/>
              <w:spacing w:line="300" w:lineRule="atLeast"/>
              <w:jc w:val="left"/>
              <w:rPr>
                <w:rFonts w:ascii="新宋体" w:hAnsi="新宋体" w:eastAsia="新宋体" w:cs="宋体"/>
                <w:color w:val="333333"/>
                <w:kern w:val="0"/>
                <w:sz w:val="24"/>
                <w:szCs w:val="24"/>
              </w:rPr>
            </w:pPr>
          </w:p>
          <w:p>
            <w:pPr>
              <w:widowControl/>
              <w:spacing w:line="300" w:lineRule="atLeast"/>
              <w:jc w:val="left"/>
              <w:rPr>
                <w:rFonts w:ascii="新宋体" w:hAnsi="新宋体" w:eastAsia="新宋体" w:cs="宋体"/>
                <w:color w:val="333333"/>
                <w:kern w:val="0"/>
                <w:sz w:val="24"/>
                <w:szCs w:val="24"/>
              </w:rPr>
            </w:pPr>
          </w:p>
        </w:tc>
      </w:tr>
    </w:tbl>
    <w:p>
      <w:pPr>
        <w:rPr>
          <w:sz w:val="18"/>
          <w:szCs w:val="18"/>
        </w:rPr>
      </w:pPr>
      <w:bookmarkStart w:id="2" w:name="_GoBack"/>
      <w:bookmarkEnd w:id="2"/>
    </w:p>
    <w:sectPr>
      <w:pgSz w:w="11906" w:h="16838"/>
      <w:pgMar w:top="1134" w:right="1797" w:bottom="1134"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modern"/>
    <w:pitch w:val="default"/>
    <w:sig w:usb0="00000283" w:usb1="288F0000" w:usb2="00000006" w:usb3="00000000" w:csb0="00040001" w:csb1="00000000"/>
  </w:font>
  <w:font w:name="Verdana">
    <w:panose1 w:val="020B0604030504040204"/>
    <w:charset w:val="00"/>
    <w:family w:val="swiss"/>
    <w:pitch w:val="default"/>
    <w:sig w:usb0="A00006FF" w:usb1="4000205B" w:usb2="00000010" w:usb3="00000000" w:csb0="2000019F" w:csb1="00000000"/>
  </w:font>
  <w:font w:name="Webdings">
    <w:panose1 w:val="05030102010509060703"/>
    <w:charset w:val="02"/>
    <w:family w:val="roman"/>
    <w:pitch w:val="default"/>
    <w:sig w:usb0="00000000" w:usb1="00000000" w:usb2="00000000" w:usb3="00000000" w:csb0="80000000" w:csb1="00000000"/>
  </w:font>
  <w:font w:name="Arial Unicode MS">
    <w:panose1 w:val="020B0604020202020204"/>
    <w:charset w:val="86"/>
    <w:family w:val="swiss"/>
    <w:pitch w:val="default"/>
    <w:sig w:usb0="FFFFFFFF" w:usb1="E9FFFFFF" w:usb2="0000003F" w:usb3="00000000" w:csb0="603F01FF" w:csb1="FFFF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339634"/>
    <w:multiLevelType w:val="singleLevel"/>
    <w:tmpl w:val="90339634"/>
    <w:lvl w:ilvl="0" w:tentative="0">
      <w:start w:val="3"/>
      <w:numFmt w:val="chineseCounting"/>
      <w:suff w:val="nothing"/>
      <w:lvlText w:val="%1、"/>
      <w:lvlJc w:val="left"/>
      <w:rPr>
        <w:rFonts w:hint="eastAsia"/>
      </w:rPr>
    </w:lvl>
  </w:abstractNum>
  <w:abstractNum w:abstractNumId="1">
    <w:nsid w:val="60601D8F"/>
    <w:multiLevelType w:val="multilevel"/>
    <w:tmpl w:val="60601D8F"/>
    <w:lvl w:ilvl="0" w:tentative="0">
      <w:start w:val="1"/>
      <w:numFmt w:val="bullet"/>
      <w:lvlText w:val="•"/>
      <w:lvlJc w:val="left"/>
      <w:pPr>
        <w:tabs>
          <w:tab w:val="left" w:pos="688"/>
        </w:tabs>
        <w:ind w:left="688" w:hanging="360"/>
      </w:pPr>
      <w:rPr>
        <w:rFonts w:hint="eastAsia" w:ascii="Verdana" w:hAnsi="Verdana"/>
      </w:rPr>
    </w:lvl>
    <w:lvl w:ilvl="1" w:tentative="0">
      <w:start w:val="1"/>
      <w:numFmt w:val="bullet"/>
      <w:lvlText w:val=""/>
      <w:lvlJc w:val="left"/>
      <w:pPr>
        <w:tabs>
          <w:tab w:val="left" w:pos="1168"/>
        </w:tabs>
        <w:ind w:left="1168" w:hanging="420"/>
      </w:pPr>
      <w:rPr>
        <w:rFonts w:hint="default" w:ascii="Wingdings" w:hAnsi="Wingdings"/>
      </w:rPr>
    </w:lvl>
    <w:lvl w:ilvl="2" w:tentative="0">
      <w:start w:val="1"/>
      <w:numFmt w:val="bullet"/>
      <w:lvlText w:val=""/>
      <w:lvlJc w:val="left"/>
      <w:pPr>
        <w:tabs>
          <w:tab w:val="left" w:pos="1588"/>
        </w:tabs>
        <w:ind w:left="1588" w:hanging="420"/>
      </w:pPr>
      <w:rPr>
        <w:rFonts w:hint="default" w:ascii="Wingdings" w:hAnsi="Wingdings"/>
      </w:rPr>
    </w:lvl>
    <w:lvl w:ilvl="3" w:tentative="0">
      <w:start w:val="1"/>
      <w:numFmt w:val="bullet"/>
      <w:lvlText w:val=""/>
      <w:lvlJc w:val="left"/>
      <w:pPr>
        <w:tabs>
          <w:tab w:val="left" w:pos="2008"/>
        </w:tabs>
        <w:ind w:left="2008" w:hanging="420"/>
      </w:pPr>
      <w:rPr>
        <w:rFonts w:hint="default" w:ascii="Wingdings" w:hAnsi="Wingdings"/>
      </w:rPr>
    </w:lvl>
    <w:lvl w:ilvl="4" w:tentative="0">
      <w:start w:val="1"/>
      <w:numFmt w:val="bullet"/>
      <w:lvlText w:val=""/>
      <w:lvlJc w:val="left"/>
      <w:pPr>
        <w:tabs>
          <w:tab w:val="left" w:pos="2428"/>
        </w:tabs>
        <w:ind w:left="2428" w:hanging="420"/>
      </w:pPr>
      <w:rPr>
        <w:rFonts w:hint="default" w:ascii="Wingdings" w:hAnsi="Wingdings"/>
      </w:rPr>
    </w:lvl>
    <w:lvl w:ilvl="5" w:tentative="0">
      <w:start w:val="1"/>
      <w:numFmt w:val="bullet"/>
      <w:lvlText w:val=""/>
      <w:lvlJc w:val="left"/>
      <w:pPr>
        <w:tabs>
          <w:tab w:val="left" w:pos="2848"/>
        </w:tabs>
        <w:ind w:left="2848" w:hanging="420"/>
      </w:pPr>
      <w:rPr>
        <w:rFonts w:hint="default" w:ascii="Wingdings" w:hAnsi="Wingdings"/>
      </w:rPr>
    </w:lvl>
    <w:lvl w:ilvl="6" w:tentative="0">
      <w:start w:val="1"/>
      <w:numFmt w:val="bullet"/>
      <w:lvlText w:val=""/>
      <w:lvlJc w:val="left"/>
      <w:pPr>
        <w:tabs>
          <w:tab w:val="left" w:pos="3268"/>
        </w:tabs>
        <w:ind w:left="3268" w:hanging="420"/>
      </w:pPr>
      <w:rPr>
        <w:rFonts w:hint="default" w:ascii="Wingdings" w:hAnsi="Wingdings"/>
      </w:rPr>
    </w:lvl>
    <w:lvl w:ilvl="7" w:tentative="0">
      <w:start w:val="1"/>
      <w:numFmt w:val="bullet"/>
      <w:lvlText w:val=""/>
      <w:lvlJc w:val="left"/>
      <w:pPr>
        <w:tabs>
          <w:tab w:val="left" w:pos="3688"/>
        </w:tabs>
        <w:ind w:left="3688" w:hanging="420"/>
      </w:pPr>
      <w:rPr>
        <w:rFonts w:hint="default" w:ascii="Wingdings" w:hAnsi="Wingdings"/>
      </w:rPr>
    </w:lvl>
    <w:lvl w:ilvl="8" w:tentative="0">
      <w:start w:val="1"/>
      <w:numFmt w:val="bullet"/>
      <w:lvlText w:val=""/>
      <w:lvlJc w:val="left"/>
      <w:pPr>
        <w:tabs>
          <w:tab w:val="left" w:pos="4108"/>
        </w:tabs>
        <w:ind w:left="4108" w:hanging="42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66E0"/>
    <w:rsid w:val="004066E0"/>
    <w:rsid w:val="008653D0"/>
    <w:rsid w:val="00AC4021"/>
    <w:rsid w:val="69700F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99"/>
    <w:rPr>
      <w:rFonts w:ascii="Calibri" w:hAnsi="Calibri" w:eastAsia="宋体" w:cs="Times New Roman"/>
      <w:sz w:val="18"/>
      <w:szCs w:val="18"/>
    </w:rPr>
  </w:style>
  <w:style w:type="character" w:customStyle="1" w:styleId="7">
    <w:name w:val="页脚 字符"/>
    <w:basedOn w:val="5"/>
    <w:link w:val="2"/>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238</Words>
  <Characters>1358</Characters>
  <Lines>11</Lines>
  <Paragraphs>3</Paragraphs>
  <TotalTime>9</TotalTime>
  <ScaleCrop>false</ScaleCrop>
  <LinksUpToDate>false</LinksUpToDate>
  <CharactersWithSpaces>1593</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2020-07-01T03:32:00Z</dcterms:created>
  <dc:creator>邱文芳</dc:creator>
  <cp:lastModifiedBy>邱邱</cp:lastModifiedBy>
  <cp:lastPrinted>2020-07-01T04:06:00Z</cp:lastPrinted>
  <dcterms:modified xsi:type="dcterms:W3CDTF">2021-09-01T01:31:40Z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B6F04054FC3C452EB16EA21F53703CE3</vt:lpwstr>
  </property>
</Properties>
</file>