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w:t>
      </w:r>
      <w:r>
        <w:rPr>
          <w:rFonts w:ascii="微软雅黑" w:hAnsi="微软雅黑" w:eastAsia="微软雅黑" w:cs="宋体"/>
          <w:b/>
          <w:bCs/>
          <w:color w:val="666666"/>
          <w:kern w:val="0"/>
          <w:sz w:val="30"/>
          <w:szCs w:val="30"/>
        </w:rPr>
        <w:t>2</w:t>
      </w:r>
      <w:r>
        <w:rPr>
          <w:rFonts w:hint="eastAsia" w:ascii="微软雅黑" w:hAnsi="微软雅黑" w:eastAsia="微软雅黑" w:cs="宋体"/>
          <w:b/>
          <w:bCs/>
          <w:color w:val="666666"/>
          <w:kern w:val="0"/>
          <w:sz w:val="30"/>
          <w:szCs w:val="30"/>
        </w:rPr>
        <w:t>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命题学院（盖章）：化学化工与环境学院       考试科目名称： 分析化学</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科目说明：（考试用具要求）</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一、考试基本要求</w:t>
            </w:r>
          </w:p>
          <w:p>
            <w:pPr>
              <w:widowControl/>
              <w:spacing w:line="300" w:lineRule="auto"/>
              <w:ind w:firstLine="420" w:firstLineChars="20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本考试大纲适用于报考闽南师范大学分析化学专业的硕士研究生入学考试。要求考生理解并掌握</w:t>
            </w:r>
            <w:r>
              <w:rPr>
                <w:rFonts w:cs="宋体" w:asciiTheme="minorEastAsia" w:hAnsiTheme="minorEastAsia" w:eastAsiaTheme="minorEastAsia"/>
                <w:color w:val="333333"/>
                <w:kern w:val="0"/>
                <w:szCs w:val="21"/>
              </w:rPr>
              <w:t>定量分析</w:t>
            </w:r>
            <w:r>
              <w:rPr>
                <w:rFonts w:hint="eastAsia" w:cs="宋体" w:asciiTheme="minorEastAsia" w:hAnsiTheme="minorEastAsia" w:eastAsiaTheme="minorEastAsia"/>
                <w:color w:val="333333"/>
                <w:kern w:val="0"/>
                <w:szCs w:val="21"/>
              </w:rPr>
              <w:t>的基本原理、测定方法、组分的</w:t>
            </w:r>
            <w:r>
              <w:rPr>
                <w:rFonts w:cs="宋体" w:asciiTheme="minorEastAsia" w:hAnsiTheme="minorEastAsia" w:eastAsiaTheme="minorEastAsia"/>
                <w:color w:val="333333"/>
                <w:kern w:val="0"/>
                <w:szCs w:val="21"/>
              </w:rPr>
              <w:t>分离与富集技术</w:t>
            </w:r>
            <w:r>
              <w:rPr>
                <w:rFonts w:hint="eastAsia" w:cs="宋体" w:asciiTheme="minorEastAsia" w:hAnsiTheme="minorEastAsia" w:eastAsiaTheme="minorEastAsia"/>
                <w:color w:val="333333"/>
                <w:kern w:val="0"/>
                <w:szCs w:val="21"/>
              </w:rPr>
              <w:t>、</w:t>
            </w:r>
            <w:r>
              <w:rPr>
                <w:rFonts w:cs="宋体" w:asciiTheme="minorEastAsia" w:hAnsiTheme="minorEastAsia" w:eastAsiaTheme="minorEastAsia"/>
                <w:color w:val="333333"/>
                <w:kern w:val="0"/>
                <w:szCs w:val="21"/>
              </w:rPr>
              <w:t>误差与分析数据处理</w:t>
            </w:r>
            <w:r>
              <w:rPr>
                <w:rFonts w:hint="eastAsia" w:cs="宋体" w:asciiTheme="minorEastAsia" w:hAnsiTheme="minorEastAsia" w:eastAsiaTheme="minorEastAsia"/>
                <w:color w:val="333333"/>
                <w:kern w:val="0"/>
                <w:szCs w:val="21"/>
              </w:rPr>
              <w:t>原理及其应用，灵活</w:t>
            </w:r>
            <w:r>
              <w:rPr>
                <w:rFonts w:cs="宋体" w:asciiTheme="minorEastAsia" w:hAnsiTheme="minorEastAsia" w:eastAsiaTheme="minorEastAsia"/>
                <w:color w:val="333333"/>
                <w:kern w:val="0"/>
                <w:szCs w:val="21"/>
              </w:rPr>
              <w:t>运用化学</w:t>
            </w:r>
            <w:r>
              <w:rPr>
                <w:rFonts w:hint="eastAsia" w:cs="宋体" w:asciiTheme="minorEastAsia" w:hAnsiTheme="minorEastAsia" w:eastAsiaTheme="minorEastAsia"/>
                <w:color w:val="333333"/>
                <w:kern w:val="0"/>
                <w:szCs w:val="21"/>
              </w:rPr>
              <w:t>分析</w:t>
            </w:r>
            <w:r>
              <w:rPr>
                <w:rFonts w:cs="宋体" w:asciiTheme="minorEastAsia" w:hAnsiTheme="minorEastAsia" w:eastAsiaTheme="minorEastAsia"/>
                <w:color w:val="333333"/>
                <w:kern w:val="0"/>
                <w:szCs w:val="21"/>
              </w:rPr>
              <w:t>的理论和知识，解决各种分析法的基本问题，</w:t>
            </w:r>
            <w:r>
              <w:rPr>
                <w:rFonts w:hint="eastAsia" w:cs="宋体" w:asciiTheme="minorEastAsia" w:hAnsiTheme="minorEastAsia" w:eastAsiaTheme="minorEastAsia"/>
                <w:color w:val="333333"/>
                <w:kern w:val="0"/>
                <w:szCs w:val="21"/>
              </w:rPr>
              <w:t>以及了解样品的分离方法和分析数据统计处理。</w:t>
            </w:r>
            <w:r>
              <w:rPr>
                <w:rFonts w:cs="宋体" w:asciiTheme="minorEastAsia" w:hAnsiTheme="minorEastAsia" w:eastAsiaTheme="minorEastAsia"/>
                <w:color w:val="333333"/>
                <w:kern w:val="0"/>
                <w:szCs w:val="21"/>
              </w:rPr>
              <w:t>掌握</w:t>
            </w:r>
            <w:r>
              <w:rPr>
                <w:rFonts w:hint="eastAsia" w:cs="宋体" w:asciiTheme="minorEastAsia" w:hAnsiTheme="minorEastAsia" w:eastAsiaTheme="minorEastAsia"/>
                <w:color w:val="333333"/>
                <w:kern w:val="0"/>
                <w:szCs w:val="21"/>
              </w:rPr>
              <w:t>相</w:t>
            </w:r>
            <w:r>
              <w:rPr>
                <w:rFonts w:cs="宋体" w:asciiTheme="minorEastAsia" w:hAnsiTheme="minorEastAsia" w:eastAsiaTheme="minorEastAsia"/>
                <w:color w:val="333333"/>
                <w:kern w:val="0"/>
                <w:szCs w:val="21"/>
              </w:rPr>
              <w:t>关学科</w:t>
            </w:r>
            <w:r>
              <w:rPr>
                <w:rFonts w:hint="eastAsia" w:cs="宋体" w:asciiTheme="minorEastAsia" w:hAnsiTheme="minorEastAsia" w:eastAsiaTheme="minorEastAsia"/>
                <w:color w:val="333333"/>
                <w:kern w:val="0"/>
                <w:szCs w:val="21"/>
              </w:rPr>
              <w:t>的</w:t>
            </w:r>
            <w:r>
              <w:rPr>
                <w:rFonts w:cs="宋体" w:asciiTheme="minorEastAsia" w:hAnsiTheme="minorEastAsia" w:eastAsiaTheme="minorEastAsia"/>
                <w:color w:val="333333"/>
                <w:kern w:val="0"/>
                <w:szCs w:val="21"/>
              </w:rPr>
              <w:t>实验技能</w:t>
            </w:r>
            <w:r>
              <w:rPr>
                <w:rFonts w:hint="eastAsia" w:cs="宋体" w:asciiTheme="minorEastAsia" w:hAnsiTheme="minorEastAsia" w:eastAsiaTheme="minorEastAsia"/>
                <w:color w:val="333333"/>
                <w:kern w:val="0"/>
                <w:szCs w:val="21"/>
              </w:rPr>
              <w:t>、综合</w:t>
            </w:r>
            <w:r>
              <w:rPr>
                <w:rFonts w:cs="宋体" w:asciiTheme="minorEastAsia" w:hAnsiTheme="minorEastAsia" w:eastAsiaTheme="minorEastAsia"/>
                <w:color w:val="333333"/>
                <w:kern w:val="0"/>
                <w:szCs w:val="21"/>
              </w:rPr>
              <w:t>分析问题</w:t>
            </w:r>
            <w:r>
              <w:rPr>
                <w:rFonts w:hint="eastAsia" w:cs="宋体" w:asciiTheme="minorEastAsia" w:hAnsiTheme="minorEastAsia" w:eastAsiaTheme="minorEastAsia"/>
                <w:color w:val="333333"/>
                <w:kern w:val="0"/>
                <w:szCs w:val="21"/>
              </w:rPr>
              <w:t>与</w:t>
            </w:r>
            <w:r>
              <w:rPr>
                <w:rFonts w:cs="宋体" w:asciiTheme="minorEastAsia" w:hAnsiTheme="minorEastAsia" w:eastAsiaTheme="minorEastAsia"/>
                <w:color w:val="333333"/>
                <w:kern w:val="0"/>
                <w:szCs w:val="21"/>
              </w:rPr>
              <w:t>解决问题的能力</w:t>
            </w:r>
            <w:r>
              <w:rPr>
                <w:rFonts w:hint="eastAsia" w:cs="宋体" w:asciiTheme="minorEastAsia" w:hAnsiTheme="minorEastAsia" w:eastAsiaTheme="minorEastAsia"/>
                <w:color w:val="333333"/>
                <w:kern w:val="0"/>
                <w:szCs w:val="21"/>
              </w:rPr>
              <w:t>，</w:t>
            </w:r>
            <w:r>
              <w:rPr>
                <w:rFonts w:cs="宋体" w:asciiTheme="minorEastAsia" w:hAnsiTheme="minorEastAsia" w:eastAsiaTheme="minorEastAsia"/>
                <w:color w:val="333333"/>
                <w:kern w:val="0"/>
                <w:szCs w:val="21"/>
              </w:rPr>
              <w:t>具备</w:t>
            </w:r>
            <w:r>
              <w:rPr>
                <w:rFonts w:hint="eastAsia" w:cs="宋体" w:asciiTheme="minorEastAsia" w:hAnsiTheme="minorEastAsia" w:eastAsiaTheme="minorEastAsia"/>
                <w:color w:val="333333"/>
                <w:kern w:val="0"/>
                <w:szCs w:val="21"/>
              </w:rPr>
              <w:t>较强的创新思维和活跃的学术思想。</w:t>
            </w:r>
          </w:p>
          <w:p>
            <w:pPr>
              <w:widowControl/>
              <w:spacing w:line="300" w:lineRule="auto"/>
              <w:jc w:val="left"/>
              <w:rPr>
                <w:rFonts w:cs="宋体" w:asciiTheme="minorEastAsia" w:hAnsiTheme="minorEastAsia" w:eastAsiaTheme="minorEastAsia"/>
                <w:b/>
                <w:color w:val="333333"/>
                <w:kern w:val="0"/>
                <w:szCs w:val="21"/>
              </w:rPr>
            </w:pPr>
            <w:bookmarkStart w:id="0" w:name="OLE_LINK1"/>
            <w:bookmarkStart w:id="1" w:name="OLE_LINK2"/>
            <w:r>
              <w:rPr>
                <w:rFonts w:hint="eastAsia" w:ascii="新宋体" w:hAnsi="新宋体" w:eastAsia="新宋体" w:cs="宋体"/>
                <w:color w:val="333333"/>
                <w:kern w:val="0"/>
                <w:sz w:val="24"/>
                <w:szCs w:val="24"/>
              </w:rPr>
              <w:t>二、考试内容和考试要求</w:t>
            </w:r>
            <w:bookmarkEnd w:id="0"/>
            <w:bookmarkEnd w:id="1"/>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绪论：</w:t>
            </w:r>
            <w:r>
              <w:rPr>
                <w:rFonts w:hint="eastAsia" w:asciiTheme="minorEastAsia" w:hAnsiTheme="minorEastAsia" w:eastAsiaTheme="minorEastAsia"/>
                <w:color w:val="000000" w:themeColor="text1"/>
                <w:kern w:val="0"/>
                <w:szCs w:val="21"/>
                <w14:textFill>
                  <w14:solidFill>
                    <w14:schemeClr w14:val="tx1"/>
                  </w14:solidFill>
                </w14:textFill>
              </w:rPr>
              <w:t>简单</w:t>
            </w:r>
            <w:r>
              <w:rPr>
                <w:rFonts w:asciiTheme="minorEastAsia" w:hAnsiTheme="minorEastAsia" w:eastAsiaTheme="minorEastAsia"/>
                <w:color w:val="333333"/>
                <w:kern w:val="0"/>
                <w:szCs w:val="21"/>
              </w:rPr>
              <w:t>了解物质化学组成与表征、测量、分析方法的分类、分析化学的研究现状、发展 趋势与前沿。</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误差及分析数据的处理：理解相对误差、标准偏差、相对标准偏差与平均值标准偏差等涵义，</w:t>
            </w:r>
            <w:r>
              <w:rPr>
                <w:rFonts w:hint="eastAsia" w:asciiTheme="minorEastAsia" w:hAnsiTheme="minorEastAsia" w:eastAsiaTheme="minorEastAsia"/>
                <w:color w:val="333333"/>
                <w:kern w:val="0"/>
                <w:szCs w:val="21"/>
              </w:rPr>
              <w:t>以及</w:t>
            </w:r>
            <w:r>
              <w:rPr>
                <w:rFonts w:asciiTheme="minorEastAsia" w:hAnsiTheme="minorEastAsia" w:eastAsiaTheme="minorEastAsia"/>
                <w:color w:val="333333"/>
                <w:kern w:val="0"/>
                <w:szCs w:val="21"/>
              </w:rPr>
              <w:t>准确度与精密度相关性及其评价等；掌握可疑值的取舍（Q、G检验法）、有效数字及其运算规则、分析结果与分析方法的评价（显著性检验）和提高分析准确度的方法。</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滴定分析：理解化学计量点、滴定终点、滴定误差、基准物质等</w:t>
            </w:r>
            <w:bookmarkStart w:id="2" w:name="OLE_LINK4"/>
            <w:r>
              <w:rPr>
                <w:rFonts w:asciiTheme="minorEastAsia" w:hAnsiTheme="minorEastAsia" w:eastAsiaTheme="minorEastAsia"/>
                <w:color w:val="333333"/>
                <w:kern w:val="0"/>
                <w:szCs w:val="21"/>
              </w:rPr>
              <w:t>涵义</w:t>
            </w:r>
            <w:bookmarkEnd w:id="2"/>
            <w:r>
              <w:rPr>
                <w:rFonts w:asciiTheme="minorEastAsia" w:hAnsiTheme="minorEastAsia" w:eastAsiaTheme="minorEastAsia"/>
                <w:color w:val="333333"/>
                <w:kern w:val="0"/>
                <w:szCs w:val="21"/>
              </w:rPr>
              <w:t>，</w:t>
            </w:r>
            <w:r>
              <w:rPr>
                <w:rFonts w:hint="eastAsia" w:asciiTheme="minorEastAsia" w:hAnsiTheme="minorEastAsia" w:eastAsiaTheme="minorEastAsia"/>
                <w:color w:val="333333"/>
                <w:kern w:val="0"/>
                <w:szCs w:val="21"/>
              </w:rPr>
              <w:t>以及</w:t>
            </w:r>
            <w:r>
              <w:rPr>
                <w:rFonts w:asciiTheme="minorEastAsia" w:hAnsiTheme="minorEastAsia" w:eastAsiaTheme="minorEastAsia"/>
                <w:color w:val="333333"/>
                <w:kern w:val="0"/>
                <w:szCs w:val="21"/>
              </w:rPr>
              <w:t>滴定分析法的特点、分类，滴定反应的要求与滴定方式等；掌握标准溶液的浓度表示法、选择、配制与标定和滴定分析的计算（反应系数与稀释比的确定）。</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酸碱滴定法：理解质子理论与处理酸碱平衡的方法（PBE、MBE、CBE），弱酸</w:t>
            </w:r>
            <w:r>
              <w:rPr>
                <w:rFonts w:hint="eastAsia" w:asciiTheme="minorEastAsia" w:hAnsiTheme="minorEastAsia" w:eastAsiaTheme="minorEastAsia"/>
                <w:color w:val="333333"/>
                <w:kern w:val="0"/>
                <w:szCs w:val="21"/>
              </w:rPr>
              <w:t>（</w:t>
            </w:r>
            <w:r>
              <w:rPr>
                <w:rFonts w:asciiTheme="minorEastAsia" w:hAnsiTheme="minorEastAsia" w:eastAsiaTheme="minorEastAsia"/>
                <w:color w:val="333333"/>
                <w:kern w:val="0"/>
                <w:szCs w:val="21"/>
              </w:rPr>
              <w:t>碱</w:t>
            </w:r>
            <w:r>
              <w:rPr>
                <w:rFonts w:hint="eastAsia" w:asciiTheme="minorEastAsia" w:hAnsiTheme="minorEastAsia" w:eastAsiaTheme="minorEastAsia"/>
                <w:color w:val="333333"/>
                <w:kern w:val="0"/>
                <w:szCs w:val="21"/>
              </w:rPr>
              <w:t>）</w:t>
            </w:r>
            <w:r>
              <w:rPr>
                <w:rFonts w:asciiTheme="minorEastAsia" w:hAnsiTheme="minorEastAsia" w:eastAsiaTheme="minorEastAsia"/>
                <w:color w:val="333333"/>
                <w:kern w:val="0"/>
                <w:szCs w:val="21"/>
              </w:rPr>
              <w:t>各型体分布分数</w:t>
            </w:r>
            <w:r>
              <w:rPr>
                <w:rFonts w:hint="eastAsia" w:asciiTheme="minorEastAsia" w:hAnsiTheme="minorEastAsia" w:eastAsiaTheme="minorEastAsia"/>
                <w:color w:val="333333"/>
                <w:kern w:val="0"/>
                <w:szCs w:val="21"/>
              </w:rPr>
              <w:t>（</w:t>
            </w:r>
            <w:r>
              <w:rPr>
                <w:rFonts w:asciiTheme="minorEastAsia" w:hAnsiTheme="minorEastAsia" w:eastAsiaTheme="minorEastAsia"/>
                <w:color w:val="333333"/>
                <w:kern w:val="0"/>
                <w:szCs w:val="21"/>
              </w:rPr>
              <w:t>δ</w:t>
            </w:r>
            <w:r>
              <w:rPr>
                <w:rFonts w:asciiTheme="minorEastAsia" w:hAnsiTheme="minorEastAsia" w:eastAsiaTheme="minorEastAsia"/>
                <w:color w:val="333333"/>
                <w:kern w:val="0"/>
                <w:szCs w:val="21"/>
                <w:vertAlign w:val="subscript"/>
              </w:rPr>
              <w:t>i</w:t>
            </w:r>
            <w:r>
              <w:rPr>
                <w:rFonts w:hint="eastAsia" w:asciiTheme="minorEastAsia" w:hAnsiTheme="minorEastAsia" w:eastAsiaTheme="minorEastAsia"/>
                <w:color w:val="333333"/>
                <w:kern w:val="0"/>
                <w:szCs w:val="21"/>
              </w:rPr>
              <w:t>）</w:t>
            </w:r>
            <w:r>
              <w:rPr>
                <w:rFonts w:asciiTheme="minorEastAsia" w:hAnsiTheme="minorEastAsia" w:eastAsiaTheme="minorEastAsia"/>
                <w:color w:val="333333"/>
                <w:kern w:val="0"/>
                <w:szCs w:val="21"/>
              </w:rPr>
              <w:t>、型体浓度、分析浓度等；掌握一（二）元酸碱溶液、化学等计量点、滴定突跃、变色范围等的pH值与滴定终点误差的计算，多元酸碱分步滴定的可行性判据，酸碱缓冲溶液和酸碱指示剂的选择、配制及其相关计算；酸碱滴定法的应用（包括组分推测、络合比和酸碱电离常数确定、含量测定与结果计算）。</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配位滴定法：了解K、K’、ß、</w:t>
            </w:r>
            <w:r>
              <w:rPr>
                <w:rFonts w:asciiTheme="minorEastAsia" w:hAnsiTheme="minorEastAsia" w:eastAsiaTheme="minorEastAsia"/>
                <w:color w:val="333333"/>
                <w:kern w:val="0"/>
                <w:szCs w:val="21"/>
                <w:lang w:val="el-GR"/>
              </w:rPr>
              <w:t>δ</w:t>
            </w:r>
            <w:r>
              <w:rPr>
                <w:rFonts w:asciiTheme="minorEastAsia" w:hAnsiTheme="minorEastAsia" w:eastAsiaTheme="minorEastAsia"/>
                <w:color w:val="333333"/>
                <w:kern w:val="0"/>
                <w:szCs w:val="21"/>
              </w:rPr>
              <w:t>型体浓度、K</w:t>
            </w:r>
            <w:r>
              <w:rPr>
                <w:rFonts w:asciiTheme="minorEastAsia" w:hAnsiTheme="minorEastAsia" w:eastAsiaTheme="minorEastAsia"/>
                <w:color w:val="333333"/>
                <w:kern w:val="0"/>
                <w:szCs w:val="21"/>
                <w:vertAlign w:val="subscript"/>
              </w:rPr>
              <w:t>MY</w:t>
            </w:r>
            <w:r>
              <w:rPr>
                <w:rFonts w:asciiTheme="minorEastAsia" w:hAnsiTheme="minorEastAsia" w:eastAsiaTheme="minorEastAsia"/>
                <w:color w:val="333333"/>
                <w:kern w:val="0"/>
                <w:szCs w:val="21"/>
              </w:rPr>
              <w:t>、K’</w:t>
            </w:r>
            <w:r>
              <w:rPr>
                <w:rFonts w:asciiTheme="minorEastAsia" w:hAnsiTheme="minorEastAsia" w:eastAsiaTheme="minorEastAsia"/>
                <w:color w:val="333333"/>
                <w:kern w:val="0"/>
                <w:szCs w:val="21"/>
                <w:vertAlign w:val="subscript"/>
              </w:rPr>
              <w:t>MY</w:t>
            </w:r>
            <w:r>
              <w:rPr>
                <w:rFonts w:asciiTheme="minorEastAsia" w:hAnsiTheme="minorEastAsia" w:eastAsiaTheme="minorEastAsia"/>
                <w:color w:val="333333"/>
                <w:kern w:val="0"/>
                <w:szCs w:val="21"/>
              </w:rPr>
              <w:t>、</w:t>
            </w:r>
            <w:r>
              <w:rPr>
                <w:rFonts w:asciiTheme="minorEastAsia" w:hAnsiTheme="minorEastAsia" w:eastAsiaTheme="minorEastAsia"/>
                <w:color w:val="333333"/>
                <w:kern w:val="0"/>
                <w:szCs w:val="21"/>
                <w:lang w:val="el-GR"/>
              </w:rPr>
              <w:t>α</w:t>
            </w:r>
            <w:r>
              <w:rPr>
                <w:rFonts w:asciiTheme="minorEastAsia" w:hAnsiTheme="minorEastAsia" w:eastAsiaTheme="minorEastAsia"/>
                <w:color w:val="333333"/>
                <w:kern w:val="0"/>
                <w:szCs w:val="21"/>
                <w:vertAlign w:val="subscript"/>
              </w:rPr>
              <w:t>M</w:t>
            </w:r>
            <w:r>
              <w:rPr>
                <w:rFonts w:asciiTheme="minorEastAsia" w:hAnsiTheme="minorEastAsia" w:eastAsiaTheme="minorEastAsia"/>
                <w:color w:val="333333"/>
                <w:kern w:val="0"/>
                <w:szCs w:val="21"/>
              </w:rPr>
              <w:t>、</w:t>
            </w:r>
            <w:r>
              <w:rPr>
                <w:rFonts w:asciiTheme="minorEastAsia" w:hAnsiTheme="minorEastAsia" w:eastAsiaTheme="minorEastAsia"/>
                <w:color w:val="333333"/>
                <w:kern w:val="0"/>
                <w:szCs w:val="21"/>
                <w:lang w:val="el-GR"/>
              </w:rPr>
              <w:t>α</w:t>
            </w:r>
            <w:r>
              <w:rPr>
                <w:rFonts w:asciiTheme="minorEastAsia" w:hAnsiTheme="minorEastAsia" w:eastAsiaTheme="minorEastAsia"/>
                <w:color w:val="333333"/>
                <w:kern w:val="0"/>
                <w:szCs w:val="21"/>
                <w:vertAlign w:val="subscript"/>
              </w:rPr>
              <w:t>Y</w:t>
            </w:r>
            <w:r>
              <w:rPr>
                <w:rFonts w:asciiTheme="minorEastAsia" w:hAnsiTheme="minorEastAsia" w:eastAsiaTheme="minorEastAsia"/>
                <w:color w:val="333333"/>
                <w:kern w:val="0"/>
                <w:szCs w:val="21"/>
              </w:rPr>
              <w:t>、</w:t>
            </w:r>
            <w:r>
              <w:rPr>
                <w:rFonts w:asciiTheme="minorEastAsia" w:hAnsiTheme="minorEastAsia" w:eastAsiaTheme="minorEastAsia"/>
                <w:color w:val="333333"/>
                <w:kern w:val="0"/>
                <w:szCs w:val="21"/>
                <w:lang w:val="el-GR"/>
              </w:rPr>
              <w:t>α</w:t>
            </w:r>
            <w:r>
              <w:rPr>
                <w:rFonts w:asciiTheme="minorEastAsia" w:hAnsiTheme="minorEastAsia" w:eastAsiaTheme="minorEastAsia"/>
                <w:color w:val="333333"/>
                <w:kern w:val="0"/>
                <w:szCs w:val="21"/>
                <w:vertAlign w:val="subscript"/>
              </w:rPr>
              <w:t>MY</w:t>
            </w:r>
            <w:r>
              <w:rPr>
                <w:rFonts w:asciiTheme="minorEastAsia" w:hAnsiTheme="minorEastAsia" w:eastAsiaTheme="minorEastAsia"/>
                <w:color w:val="333333"/>
                <w:kern w:val="0"/>
                <w:szCs w:val="21"/>
              </w:rPr>
              <w:t>、pM、</w:t>
            </w:r>
            <w:r>
              <w:rPr>
                <w:rFonts w:asciiTheme="minorEastAsia" w:hAnsiTheme="minorEastAsia" w:eastAsiaTheme="minorEastAsia"/>
                <w:color w:val="333333"/>
                <w:kern w:val="0"/>
                <w:szCs w:val="21"/>
                <w:lang w:val="el-GR"/>
              </w:rPr>
              <w:t>Δ</w:t>
            </w:r>
            <w:r>
              <w:rPr>
                <w:rFonts w:asciiTheme="minorEastAsia" w:hAnsiTheme="minorEastAsia" w:eastAsiaTheme="minorEastAsia"/>
                <w:color w:val="333333"/>
                <w:kern w:val="0"/>
                <w:szCs w:val="21"/>
              </w:rPr>
              <w:t>pM等涵义及其相关计算，滴定突跃及其影响因素、络合滴定条件，金属离子指示剂作用原理及其选择；掌握络合滴定的选择性、方式、特点与应用，络合滴定曲线与准确滴定的判据，滴定突跃、变色范围、终点误差和分析结果的计算。</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氧化还原滴定法：了解氧化还原滴定电对电位E、E</w:t>
            </w:r>
            <w:r>
              <w:rPr>
                <w:rFonts w:asciiTheme="minorEastAsia" w:hAnsiTheme="minorEastAsia" w:eastAsiaTheme="minorEastAsia"/>
                <w:color w:val="333333"/>
                <w:kern w:val="0"/>
                <w:szCs w:val="21"/>
                <w:vertAlign w:val="subscript"/>
              </w:rPr>
              <w:t>sp</w:t>
            </w:r>
            <w:r>
              <w:rPr>
                <w:rFonts w:asciiTheme="minorEastAsia" w:hAnsiTheme="minorEastAsia" w:eastAsiaTheme="minorEastAsia"/>
                <w:color w:val="333333"/>
                <w:kern w:val="0"/>
                <w:szCs w:val="21"/>
              </w:rPr>
              <w:t>、</w:t>
            </w:r>
            <w:r>
              <w:rPr>
                <w:rFonts w:asciiTheme="minorEastAsia" w:hAnsiTheme="minorEastAsia" w:eastAsiaTheme="minorEastAsia"/>
                <w:color w:val="333333"/>
                <w:kern w:val="0"/>
                <w:szCs w:val="21"/>
                <w:lang w:val="el-GR"/>
              </w:rPr>
              <w:t>Δ</w:t>
            </w:r>
            <w:r>
              <w:rPr>
                <w:rFonts w:asciiTheme="minorEastAsia" w:hAnsiTheme="minorEastAsia" w:eastAsiaTheme="minorEastAsia"/>
                <w:color w:val="333333"/>
                <w:kern w:val="0"/>
                <w:szCs w:val="21"/>
              </w:rPr>
              <w:t>E、变色电位、氧化还原反应的方向、程度和速率等；理解氧化还原滴定曲线、待测组分滴定前的预处理，掌握指示剂的选择和分析结果的计算，氧化还原滴定法（如重铬酸钾法，碘量法）及其应用。</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沉淀滴定法：理解沉淀滴定法原理、确定终点的方法、滴定条件、滴定方式和应用。</w:t>
            </w:r>
            <w:r>
              <w:rPr>
                <w:rFonts w:hint="eastAsia" w:asciiTheme="minorEastAsia" w:hAnsiTheme="minorEastAsia" w:eastAsiaTheme="minorEastAsia"/>
                <w:color w:val="333333"/>
                <w:kern w:val="0"/>
                <w:szCs w:val="21"/>
              </w:rPr>
              <w:t xml:space="preserve">  </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重量分析法：了解重量分析法的特点与分类，沉淀式、称量式及其要求；理解溶解度及其影响因素、沉淀形成及其纯度影响因素、沉淀条件；掌握降低沉淀溶解度和提高沉淀纯度的方法，重量分析结果计算。</w:t>
            </w:r>
          </w:p>
          <w:p>
            <w:pPr>
              <w:widowControl/>
              <w:numPr>
                <w:ilvl w:val="0"/>
                <w:numId w:val="1"/>
              </w:numPr>
              <w:spacing w:line="300" w:lineRule="auto"/>
              <w:jc w:val="left"/>
              <w:rPr>
                <w:rFonts w:asciiTheme="minorEastAsia" w:hAnsiTheme="minorEastAsia" w:eastAsiaTheme="minorEastAsia"/>
                <w:color w:val="333333"/>
                <w:kern w:val="0"/>
                <w:szCs w:val="21"/>
              </w:rPr>
            </w:pPr>
            <w:r>
              <w:rPr>
                <w:rFonts w:asciiTheme="minorEastAsia" w:hAnsiTheme="minorEastAsia" w:eastAsiaTheme="minorEastAsia"/>
                <w:color w:val="333333"/>
                <w:kern w:val="0"/>
                <w:szCs w:val="21"/>
              </w:rPr>
              <w:t>吸光光度法：了解物质对光的选择性吸收、光吸收定律及其应用条件、摩尔吸光系数与灵敏度，吸光光度法仪器，理解显色反应及其影响因素，参比溶液的选择、共存离子干扰；吸光光度法的特点与应用（络合物组成的确定）；</w:t>
            </w:r>
            <w:r>
              <w:rPr>
                <w:rFonts w:hint="eastAsia" w:asciiTheme="minorEastAsia" w:hAnsiTheme="minorEastAsia" w:eastAsiaTheme="minorEastAsia"/>
                <w:color w:val="333333"/>
                <w:kern w:val="0"/>
                <w:szCs w:val="21"/>
              </w:rPr>
              <w:t>重点</w:t>
            </w:r>
            <w:r>
              <w:rPr>
                <w:rFonts w:asciiTheme="minorEastAsia" w:hAnsiTheme="minorEastAsia" w:eastAsiaTheme="minorEastAsia"/>
                <w:color w:val="333333"/>
                <w:kern w:val="0"/>
                <w:szCs w:val="21"/>
              </w:rPr>
              <w:t>掌握吸收光谱、工作波长的确定、线性范围、检出限、准确度、精密度与选择性、回收率、吸光光度分析结果计算及其显著性检验。</w:t>
            </w:r>
          </w:p>
          <w:p>
            <w:pPr>
              <w:widowControl/>
              <w:numPr>
                <w:ilvl w:val="0"/>
                <w:numId w:val="1"/>
              </w:numPr>
              <w:spacing w:line="300" w:lineRule="auto"/>
              <w:ind w:left="105" w:leftChars="50"/>
              <w:jc w:val="left"/>
              <w:rPr>
                <w:rFonts w:asciiTheme="minorEastAsia" w:hAnsiTheme="minorEastAsia" w:eastAsiaTheme="minorEastAsia"/>
                <w:color w:val="333333"/>
                <w:kern w:val="0"/>
                <w:szCs w:val="21"/>
              </w:rPr>
            </w:pPr>
            <w:r>
              <w:rPr>
                <w:rFonts w:hint="eastAsia" w:asciiTheme="minorEastAsia" w:hAnsiTheme="minorEastAsia" w:eastAsiaTheme="minorEastAsia"/>
                <w:color w:val="333333"/>
                <w:kern w:val="0"/>
                <w:szCs w:val="21"/>
              </w:rPr>
              <w:t xml:space="preserve"> </w:t>
            </w:r>
            <w:r>
              <w:rPr>
                <w:rFonts w:asciiTheme="minorEastAsia" w:hAnsiTheme="minorEastAsia" w:eastAsiaTheme="minorEastAsia"/>
                <w:color w:val="333333"/>
                <w:kern w:val="0"/>
                <w:szCs w:val="21"/>
              </w:rPr>
              <w:t>常用的分离和富集方法：了解分析化学中的分离及其意义，评价分离效果的指标（回收率、分离因素），待测组分与干扰组分的分离、富集方法（沉淀分离法，溶剂萃取分离法、离子交换分离法、液相色谱分离法）。</w:t>
            </w:r>
          </w:p>
          <w:p>
            <w:pPr>
              <w:widowControl/>
              <w:numPr>
                <w:ilvl w:val="0"/>
                <w:numId w:val="1"/>
              </w:numPr>
              <w:spacing w:line="300" w:lineRule="auto"/>
              <w:ind w:left="105" w:leftChars="50"/>
              <w:jc w:val="left"/>
              <w:rPr>
                <w:rFonts w:ascii="Times New Roman" w:hAnsi="Times New Roman" w:eastAsia="新宋体"/>
                <w:color w:val="333333"/>
                <w:kern w:val="0"/>
                <w:sz w:val="24"/>
                <w:szCs w:val="24"/>
              </w:rPr>
            </w:pPr>
            <w:r>
              <w:rPr>
                <w:rFonts w:asciiTheme="minorEastAsia" w:hAnsiTheme="minorEastAsia" w:eastAsiaTheme="minorEastAsia"/>
                <w:color w:val="333333"/>
                <w:kern w:val="0"/>
                <w:szCs w:val="21"/>
              </w:rPr>
              <w:t xml:space="preserve"> 定量分析的一般步骤：了解“四分法”、采样公式，分析试样的制备、分解，干扰物质的分离，测定方法的选择。</w:t>
            </w:r>
          </w:p>
          <w:p>
            <w:pPr>
              <w:widowControl/>
              <w:spacing w:line="360" w:lineRule="auto"/>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三．考试题型及分值：(考试时间180分钟，共150分)</w:t>
            </w:r>
          </w:p>
          <w:p>
            <w:pPr>
              <w:widowControl/>
              <w:spacing w:line="360" w:lineRule="auto"/>
              <w:ind w:firstLine="420" w:firstLineChars="20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选择题（2分/题，共70分），填空题（1分/空，共20分），简答题（4分/题，共20分），计算题（5分/题，共20分），综合设计题（10分/题，共20分）。</w:t>
            </w:r>
          </w:p>
          <w:p>
            <w:pPr>
              <w:widowControl/>
              <w:spacing w:line="360" w:lineRule="auto"/>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四、参考教材</w:t>
            </w:r>
          </w:p>
          <w:p>
            <w:pPr>
              <w:widowControl/>
              <w:spacing w:line="360" w:lineRule="auto"/>
              <w:ind w:firstLine="420" w:firstLineChars="20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华中师范大学等编，分析化学上册（第三版），高等教育出版社</w:t>
            </w: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p>
            <w:pPr>
              <w:widowControl/>
              <w:spacing w:line="300" w:lineRule="atLeast"/>
              <w:jc w:val="left"/>
              <w:rPr>
                <w:rFonts w:ascii="新宋体" w:hAnsi="新宋体" w:eastAsia="新宋体" w:cs="宋体"/>
                <w:color w:val="333333"/>
                <w:kern w:val="0"/>
                <w:sz w:val="24"/>
                <w:szCs w:val="24"/>
              </w:rPr>
            </w:pPr>
          </w:p>
        </w:tc>
      </w:tr>
    </w:tbl>
    <w:p>
      <w:pPr>
        <w:rPr>
          <w:sz w:val="18"/>
          <w:szCs w:val="18"/>
        </w:rPr>
      </w:pPr>
      <w:bookmarkStart w:id="3" w:name="_GoBack"/>
      <w:bookmarkEnd w:id="3"/>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B3758"/>
    <w:multiLevelType w:val="multilevel"/>
    <w:tmpl w:val="17EB375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44"/>
    <w:rsid w:val="00146164"/>
    <w:rsid w:val="00183FDC"/>
    <w:rsid w:val="001A0314"/>
    <w:rsid w:val="003B4B1F"/>
    <w:rsid w:val="00422312"/>
    <w:rsid w:val="005358A1"/>
    <w:rsid w:val="0054201F"/>
    <w:rsid w:val="00654F55"/>
    <w:rsid w:val="00697201"/>
    <w:rsid w:val="00751977"/>
    <w:rsid w:val="009256CE"/>
    <w:rsid w:val="00942EC8"/>
    <w:rsid w:val="00A01527"/>
    <w:rsid w:val="00A064AF"/>
    <w:rsid w:val="00A2711A"/>
    <w:rsid w:val="00B7619F"/>
    <w:rsid w:val="00BD1A51"/>
    <w:rsid w:val="00C26C5E"/>
    <w:rsid w:val="00C51D93"/>
    <w:rsid w:val="00CF2420"/>
    <w:rsid w:val="00D52A9F"/>
    <w:rsid w:val="00D82BE4"/>
    <w:rsid w:val="00E5660E"/>
    <w:rsid w:val="00E95AA8"/>
    <w:rsid w:val="00EA2044"/>
    <w:rsid w:val="00F66155"/>
    <w:rsid w:val="00F81C90"/>
    <w:rsid w:val="4AF75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253</Words>
  <Characters>1445</Characters>
  <Lines>12</Lines>
  <Paragraphs>3</Paragraphs>
  <TotalTime>5</TotalTime>
  <ScaleCrop>false</ScaleCrop>
  <LinksUpToDate>false</LinksUpToDate>
  <CharactersWithSpaces>1695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2020-08-23T15:07:00Z</dcterms:created>
  <dc:creator>邱文芳</dc:creator>
  <cp:lastModifiedBy>邱邱</cp:lastModifiedBy>
  <cp:lastPrinted>2020-07-01T04:06:00Z</cp:lastPrinted>
  <dcterms:modified xsi:type="dcterms:W3CDTF">2021-09-01T01:29:54Z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AC40096077934EFA97A7B4460E42AEF6</vt:lpwstr>
  </property>
</Properties>
</file>