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1"/>
          <w:szCs w:val="21"/>
        </w:rPr>
      </w:pPr>
      <w:bookmarkStart w:id="1" w:name="_GoBack"/>
      <w:bookmarkEnd w:id="1"/>
    </w:p>
    <w:p>
      <w:pPr>
        <w:rPr>
          <w:rFonts w:hint="eastAsia"/>
        </w:rPr>
      </w:pPr>
      <w:r>
        <w:rPr>
          <w:rFonts w:hint="eastAsia"/>
        </w:rPr>
        <w:t>一、名词解释（每小题5分，共35分）</w:t>
      </w:r>
    </w:p>
    <w:p>
      <w:pPr>
        <w:ind w:left="58" w:leftChars="24" w:firstLine="240" w:firstLineChars="100"/>
      </w:pPr>
      <w:r>
        <w:rPr>
          <w:rFonts w:hint="eastAsia"/>
        </w:rPr>
        <w:t xml:space="preserve">1.外部规模经济 </w:t>
      </w:r>
      <w:r>
        <w:t xml:space="preserve"> </w:t>
      </w:r>
      <w:r>
        <w:rPr>
          <w:rFonts w:hint="eastAsia"/>
        </w:rPr>
        <w:t xml:space="preserve">     2.最优关税     3.内部化优势</w:t>
      </w:r>
      <w:r>
        <w:t xml:space="preserve"> </w:t>
      </w:r>
      <w:r>
        <w:rPr>
          <w:rFonts w:hint="eastAsia"/>
        </w:rPr>
        <w:t xml:space="preserve">     4.铸币平价</w:t>
      </w:r>
    </w:p>
    <w:p>
      <w:pPr>
        <w:ind w:left="58" w:leftChars="24" w:firstLine="240" w:firstLineChars="100"/>
      </w:pPr>
      <w:r>
        <w:rPr>
          <w:rFonts w:hint="eastAsia"/>
        </w:rPr>
        <w:t>5.市场挑战者战略     6.品牌管理     7.虚拟经营</w:t>
      </w:r>
    </w:p>
    <w:p>
      <w:pPr>
        <w:rPr>
          <w:rFonts w:hint="eastAsia"/>
        </w:rPr>
      </w:pPr>
    </w:p>
    <w:p>
      <w:pPr>
        <w:rPr>
          <w:rFonts w:hint="eastAsia"/>
        </w:rPr>
      </w:pPr>
      <w:r>
        <w:rPr>
          <w:rFonts w:hint="eastAsia"/>
        </w:rPr>
        <w:t>二、简答题（共55分）</w:t>
      </w:r>
    </w:p>
    <w:p>
      <w:pPr>
        <w:ind w:left="58" w:leftChars="24" w:firstLine="240" w:firstLineChars="100"/>
      </w:pPr>
      <w:r>
        <w:rPr>
          <w:rFonts w:hint="eastAsia"/>
        </w:rPr>
        <w:t>1</w:t>
      </w:r>
      <w:r>
        <w:t>.</w:t>
      </w:r>
      <w:r>
        <w:rPr>
          <w:rFonts w:hint="eastAsia"/>
        </w:rPr>
        <w:t>加入SA8000 对中国企业有何影响？（9分）</w:t>
      </w:r>
    </w:p>
    <w:p>
      <w:pPr>
        <w:ind w:left="58" w:leftChars="24" w:firstLine="240" w:firstLineChars="100"/>
        <w:rPr>
          <w:rFonts w:hint="eastAsia"/>
        </w:rPr>
      </w:pPr>
      <w:r>
        <w:rPr>
          <w:rFonts w:hint="eastAsia"/>
        </w:rPr>
        <w:t>2</w:t>
      </w:r>
      <w:r>
        <w:t>.</w:t>
      </w:r>
      <w:r>
        <w:rPr>
          <w:rFonts w:hint="eastAsia"/>
        </w:rPr>
        <w:t>利用国家竞争优势理论，分析我国加工贸易型外贸发展模式对我国国家竞争优势培育的 不利影响？（12分）</w:t>
      </w:r>
    </w:p>
    <w:p>
      <w:pPr>
        <w:ind w:left="58" w:leftChars="24" w:firstLine="240" w:firstLineChars="100"/>
      </w:pPr>
      <w:r>
        <w:rPr>
          <w:rFonts w:hint="eastAsia"/>
        </w:rPr>
        <w:t>3</w:t>
      </w:r>
      <w:r>
        <w:t>.</w:t>
      </w:r>
      <w:r>
        <w:rPr>
          <w:rFonts w:hint="eastAsia"/>
        </w:rPr>
        <w:t>何为战略性贸易政策？试述战略性贸易政策理论的基本内容并进行评价。（12分）</w:t>
      </w:r>
    </w:p>
    <w:p>
      <w:pPr>
        <w:ind w:left="58" w:leftChars="24" w:firstLine="240" w:firstLineChars="100"/>
      </w:pPr>
      <w:r>
        <w:rPr>
          <w:rFonts w:hint="eastAsia"/>
        </w:rPr>
        <w:t>4.跨国公司之间的战略竞争中，获得成本领先优势的方法有哪些？成本领先战略的适用条件是什么？（12分）</w:t>
      </w:r>
    </w:p>
    <w:p>
      <w:pPr>
        <w:ind w:left="58" w:leftChars="24" w:firstLine="240" w:firstLineChars="100"/>
      </w:pPr>
      <w:r>
        <w:rPr>
          <w:rFonts w:hint="eastAsia"/>
        </w:rPr>
        <w:t>5.试述企业开展国际市场营销面临的机遇与挑战？ （10分）</w:t>
      </w:r>
    </w:p>
    <w:p>
      <w:pPr>
        <w:rPr>
          <w:rFonts w:hint="eastAsia"/>
        </w:rPr>
      </w:pPr>
    </w:p>
    <w:p>
      <w:pPr>
        <w:rPr>
          <w:rFonts w:hint="eastAsia"/>
        </w:rPr>
      </w:pPr>
      <w:r>
        <w:rPr>
          <w:rFonts w:hint="eastAsia"/>
        </w:rPr>
        <w:t>三、案例分析题（每小题15分，共30分）</w:t>
      </w:r>
    </w:p>
    <w:p>
      <w:pPr>
        <w:ind w:left="58" w:leftChars="24" w:firstLine="240" w:firstLineChars="100"/>
      </w:pPr>
      <w:r>
        <w:rPr>
          <w:rFonts w:hint="eastAsia"/>
        </w:rPr>
        <w:t xml:space="preserve">  1．丰田公司认识到全世界有</w:t>
      </w:r>
      <w:bookmarkStart w:id="0" w:name="baidusnap6"/>
      <w:bookmarkEnd w:id="0"/>
      <w:r>
        <w:rPr>
          <w:rFonts w:hint="eastAsia"/>
        </w:rPr>
        <w:t>大量的消费者希望得到和承担一辆昂贵的汽车。在这群人中，许多消费者愿意买奔驰，但又认为价格过高。他们希望购买像奔驰同样性能的车，并且价格要合理。这给了丰田一个想法，开发一辆能与奔驰竞争，甚至定位于更高价值的轿车，一个“聪明”的购买者欲获得身价但不会浪费钱。丰田的设计者和工程师开发了凌志汽车并开展多方位的进攻。新汽车安装精良，内部装饰豪华。丰田的广告画面旁边显示的是奔驰，并写上标语：“这也许是历史上第一次，只需花36,000美元就能买到值73,000美元的高级轿车。”丰田努力挑选能高度胜任的经销商和精心设计陈列室，并把销售作为汽车设计的工作之一，陈列室有宽敞的空间，布置了鲜花和观赏植物，免费提供咖啡，备有专业的销售员。经销商开列了潜在客户的名单，向他们寄发手册，内含12分钟戏剧性体现凌志绩效功能的录像带。例如，录像带显示工程师把一杯水放在引擎上，当奔驰引擎发动时，水发生抖动，而凌志却没有，这说明凌志有更平稳的引擎和提供更稳定的驾驶。录像带更戏剧性地展示，把一杯水放在操纵盘旁，当凌志急转弯时水不溢出来，真令人兴奋。购买者向他们的朋友到处介绍，成了新凌志的最好的销售员（免费的）。</w:t>
      </w:r>
    </w:p>
    <w:p>
      <w:pPr>
        <w:ind w:left="58" w:leftChars="24" w:firstLine="240" w:firstLineChars="100"/>
      </w:pPr>
    </w:p>
    <w:p>
      <w:pPr>
        <w:ind w:left="55" w:leftChars="23" w:firstLine="480" w:firstLineChars="200"/>
        <w:rPr>
          <w:rFonts w:hint="eastAsia"/>
        </w:rPr>
      </w:pPr>
      <w:r>
        <w:rPr>
          <w:rFonts w:hint="eastAsia"/>
        </w:rPr>
        <w:t>针对凌志的挑战，你认为奔驰应该如何应对？（15分）</w:t>
      </w:r>
    </w:p>
    <w:p>
      <w:pPr>
        <w:rPr>
          <w:rFonts w:hint="eastAsia"/>
        </w:rPr>
      </w:pPr>
    </w:p>
    <w:p>
      <w:pPr>
        <w:ind w:left="55" w:leftChars="23" w:firstLine="480" w:firstLineChars="200"/>
      </w:pPr>
      <w:r>
        <w:rPr>
          <w:rFonts w:hint="eastAsia"/>
        </w:rPr>
        <w:t>2. 2020年11月10日晚，中国国际进口博览局对外发布第三届进博会闭幕信息。数据显示，虽然目前全球新冠肺炎疫情仍在蔓延，但第三届进博会各方合作意愿热度不减，按一年计，累计意向成交726.2亿美元，比上届增长2.1%。</w:t>
      </w:r>
    </w:p>
    <w:p>
      <w:pPr>
        <w:ind w:left="55" w:leftChars="23" w:firstLine="480" w:firstLineChars="200"/>
      </w:pPr>
      <w:r>
        <w:rPr>
          <w:rFonts w:hint="eastAsia"/>
        </w:rPr>
        <w:t>进博会期间，包括中核集团、航天科技在内的55家中央企业与几十个国家和地区的企业签署意向采购协议，技术装备类、医疗健康类、服务贸易类比第二届有所增加，特别值得一提的是，向亚洲、非洲、南美洲发展中国家意向采购金额增长一倍以上。</w:t>
      </w:r>
    </w:p>
    <w:p>
      <w:pPr>
        <w:ind w:left="55" w:leftChars="23" w:firstLine="480" w:firstLineChars="200"/>
      </w:pPr>
      <w:r>
        <w:rPr>
          <w:rFonts w:hint="eastAsia"/>
        </w:rPr>
        <w:t>中国国际进口博览局副局长孔福安介绍说，本届进博会上进行的全球首发、亚洲首秀、中国首展的产品数量占比达一半以上。日本参展企业数量最多，美国企业展览总面积最大。而意大利、葡萄牙、巴基斯坦、斐济和匈牙利等国则通过进博会官网，以图片和视频形式线上展示本国风土人情和发展投资机遇，吸引网友关注。</w:t>
      </w:r>
    </w:p>
    <w:p>
      <w:pPr>
        <w:ind w:left="55" w:leftChars="23" w:firstLine="480" w:firstLineChars="200"/>
        <w:rPr>
          <w:rFonts w:hint="eastAsia"/>
        </w:rPr>
      </w:pPr>
    </w:p>
    <w:p>
      <w:pPr>
        <w:ind w:left="55" w:leftChars="23" w:firstLine="480" w:firstLineChars="200"/>
      </w:pPr>
      <w:r>
        <w:rPr>
          <w:rFonts w:hint="eastAsia"/>
        </w:rPr>
        <w:t>今年受疫情影响较大的中国航空企业，率先在全球航空业“寒冬”喊出了“回暖”的口号。东航集团与CFM（GE通用电气公司与赛峰飞机发动机公司50/50的平股合资公司）、霍尼韦尔分别签署了LEAP-1A航空发动机小时包修协议及6台备用航空发动机的采购协议和131-9A型辅助动力装置（APU）的采购协议；南航集团分别与14家全球航空服务领域的大型国际厂商、供应商签署了采购协议。</w:t>
      </w:r>
    </w:p>
    <w:p>
      <w:pPr>
        <w:ind w:left="55" w:leftChars="23" w:firstLine="480" w:firstLineChars="200"/>
      </w:pPr>
      <w:r>
        <w:rPr>
          <w:rFonts w:hint="eastAsia"/>
        </w:rPr>
        <w:t>全球著名的酵母生产企业、法国乐斯福大中华区总裁浦建菲则透过进博会看到了“中国税收营商环境的改变”，他成为第一批预订明年展位的参展商之一，“过去对外支付模式中，企业要分别到税务、银行窗口收交相关资料，办理成本较大；今年，企业可以通过上海电子税务局进行对外支付备案的全流程电子化办理。”“在全球经济受到新冠肺炎疫情深刻影响的情况下，第三届进博会如期举行，无疑会对集团发展产生极大推动作用。”进博会期间，浦建菲接待了包括良品铺子等众多热情的考察团体，“感受到巨大的活力和信心，我们会扎根中国，在这里继续发展下一个30年。”</w:t>
      </w:r>
    </w:p>
    <w:p>
      <w:pPr>
        <w:ind w:left="55" w:leftChars="23" w:firstLine="480" w:firstLineChars="200"/>
        <w:rPr>
          <w:rFonts w:hint="eastAsia"/>
        </w:rPr>
      </w:pPr>
    </w:p>
    <w:p>
      <w:pPr>
        <w:ind w:left="55" w:leftChars="23" w:firstLine="480" w:firstLineChars="200"/>
      </w:pPr>
      <w:r>
        <w:rPr>
          <w:rFonts w:hint="eastAsia"/>
        </w:rPr>
        <w:t>结合上述材料回答如下问题：</w:t>
      </w:r>
    </w:p>
    <w:p>
      <w:pPr>
        <w:ind w:left="55" w:leftChars="23" w:firstLine="480" w:firstLineChars="200"/>
      </w:pPr>
      <w:r>
        <w:rPr>
          <w:rFonts w:hint="eastAsia"/>
        </w:rPr>
        <w:t>（1）进口贸易对中国经济发展有哪些作用？（7分）</w:t>
      </w:r>
    </w:p>
    <w:p>
      <w:pPr>
        <w:ind w:left="55" w:leftChars="23" w:firstLine="480" w:firstLineChars="200"/>
      </w:pPr>
      <w:r>
        <w:rPr>
          <w:rFonts w:hint="eastAsia"/>
        </w:rPr>
        <w:t>（2）第三届进博会如期举行有哪些重大意义？（8分）</w:t>
      </w:r>
    </w:p>
    <w:p>
      <w:pPr>
        <w:rPr>
          <w:rFonts w:hint="eastAsia"/>
        </w:rPr>
      </w:pPr>
    </w:p>
    <w:p>
      <w:pPr>
        <w:rPr>
          <w:rFonts w:hint="eastAsia"/>
        </w:rPr>
      </w:pPr>
      <w:r>
        <w:rPr>
          <w:rFonts w:hint="eastAsia"/>
        </w:rPr>
        <w:t xml:space="preserve">    四、论述题（30分）</w:t>
      </w:r>
    </w:p>
    <w:p>
      <w:r>
        <w:rPr>
          <w:rFonts w:hint="eastAsia"/>
        </w:rPr>
        <w:t xml:space="preserve">    试分析中国利用外资的主要特点和存在的主要问题。</w:t>
      </w:r>
    </w:p>
    <w:p>
      <w:pPr>
        <w:rPr>
          <w:rFonts w:hint="eastAsia"/>
        </w:rPr>
      </w:pPr>
    </w:p>
    <w:sectPr>
      <w:headerReference r:id="rId5" w:type="first"/>
      <w:footerReference r:id="rId8" w:type="first"/>
      <w:headerReference r:id="rId3" w:type="default"/>
      <w:footerReference r:id="rId6" w:type="default"/>
      <w:headerReference r:id="rId4" w:type="even"/>
      <w:footerReference r:id="rId7" w:type="even"/>
      <w:type w:val="continuous"/>
      <w:pgSz w:w="11850" w:h="16783"/>
      <w:pgMar w:top="2835" w:right="1134" w:bottom="1134" w:left="1134" w:header="794" w:footer="850" w:gutter="0"/>
      <w:pgBorders>
        <w:top w:val="single" w:color="auto" w:sz="4" w:space="1"/>
        <w:left w:val="single" w:color="auto" w:sz="4" w:space="4"/>
        <w:bottom w:val="single" w:color="auto" w:sz="4" w:space="1"/>
        <w:right w:val="single" w:color="auto" w:sz="4" w:space="4"/>
      </w:pgBorders>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sz w:val="18"/>
        <w:szCs w:val="18"/>
      </w:rPr>
    </w:pPr>
    <w:r>
      <w:rPr>
        <w:rFonts w:hint="eastAsia"/>
        <w:sz w:val="18"/>
        <w:szCs w:val="18"/>
      </w:rPr>
      <w:t xml:space="preserve">第 </w:t>
    </w:r>
    <w:r>
      <w:rPr>
        <w:sz w:val="18"/>
        <w:szCs w:val="18"/>
      </w:rPr>
      <w:fldChar w:fldCharType="begin"/>
    </w:r>
    <w:r>
      <w:rPr>
        <w:sz w:val="18"/>
        <w:szCs w:val="18"/>
      </w:rPr>
      <w:instrText xml:space="preserve"> PAGE </w:instrText>
    </w:r>
    <w:r>
      <w:rPr>
        <w:sz w:val="18"/>
        <w:szCs w:val="18"/>
      </w:rPr>
      <w:fldChar w:fldCharType="separate"/>
    </w:r>
    <w:r>
      <w:rPr>
        <w:sz w:val="18"/>
        <w:szCs w:val="18"/>
        <w:lang/>
      </w:rPr>
      <w:t>2</w:t>
    </w:r>
    <w:r>
      <w:rPr>
        <w:sz w:val="18"/>
        <w:szCs w:val="18"/>
      </w:rPr>
      <w:fldChar w:fldCharType="end"/>
    </w:r>
    <w:r>
      <w:rPr>
        <w:rFonts w:hint="eastAsia"/>
        <w:sz w:val="18"/>
        <w:szCs w:val="18"/>
      </w:rPr>
      <w:t xml:space="preserve"> 页 共 </w:t>
    </w:r>
    <w:r>
      <w:rPr>
        <w:sz w:val="18"/>
        <w:szCs w:val="18"/>
      </w:rPr>
      <w:fldChar w:fldCharType="begin"/>
    </w:r>
    <w:r>
      <w:rPr>
        <w:sz w:val="18"/>
        <w:szCs w:val="18"/>
      </w:rPr>
      <w:instrText xml:space="preserve"> NUMPAGES </w:instrText>
    </w:r>
    <w:r>
      <w:rPr>
        <w:sz w:val="18"/>
        <w:szCs w:val="18"/>
      </w:rPr>
      <w:fldChar w:fldCharType="separate"/>
    </w:r>
    <w:r>
      <w:rPr>
        <w:sz w:val="18"/>
        <w:szCs w:val="18"/>
        <w:lang/>
      </w:rPr>
      <w:t>2</w:t>
    </w:r>
    <w:r>
      <w:rPr>
        <w:sz w:val="18"/>
        <w:szCs w:val="18"/>
      </w:rPr>
      <w:fldChar w:fldCharType="end"/>
    </w:r>
    <w:r>
      <w:rPr>
        <w:rFonts w:hint="eastAsia"/>
        <w:sz w:val="18"/>
        <w:szCs w:val="18"/>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afterLines="50"/>
      <w:jc w:val="center"/>
      <w:rPr>
        <w:rFonts w:ascii="宋体" w:hAnsi="宋体"/>
        <w:b/>
        <w:sz w:val="32"/>
        <w:szCs w:val="32"/>
      </w:rPr>
    </w:pPr>
  </w:p>
  <w:p>
    <w:pPr>
      <w:spacing w:after="120" w:afterLines="50"/>
      <w:jc w:val="center"/>
      <w:rPr>
        <w:rFonts w:hint="eastAsia" w:ascii="宋体" w:hAnsi="宋体"/>
        <w:b/>
        <w:sz w:val="32"/>
        <w:szCs w:val="32"/>
      </w:rPr>
    </w:pPr>
    <w:r>
      <w:rPr>
        <w:rFonts w:hint="eastAsia" w:ascii="宋体" w:hAnsi="宋体"/>
        <w:b/>
        <w:sz w:val="32"/>
        <w:szCs w:val="32"/>
      </w:rPr>
      <w:t>宁波大学</w:t>
    </w:r>
    <w:r>
      <w:rPr>
        <w:rFonts w:hint="eastAsia" w:ascii="宋体" w:hAnsi="宋体"/>
        <w:b/>
        <w:sz w:val="32"/>
        <w:szCs w:val="32"/>
        <w:u w:val="single"/>
      </w:rPr>
      <w:t>2021</w:t>
    </w:r>
    <w:r>
      <w:rPr>
        <w:rFonts w:hint="eastAsia" w:ascii="宋体" w:hAnsi="宋体"/>
        <w:b/>
        <w:sz w:val="32"/>
        <w:szCs w:val="32"/>
      </w:rPr>
      <w:t>年硕士研究生招生考试初试试题</w:t>
    </w:r>
    <w:r>
      <w:rPr>
        <w:rFonts w:ascii="宋体" w:hAnsi="宋体"/>
        <w:b/>
        <w:sz w:val="32"/>
        <w:szCs w:val="32"/>
      </w:rPr>
      <w:t>(</w:t>
    </w:r>
    <w:r>
      <w:rPr>
        <w:rFonts w:hint="eastAsia" w:ascii="宋体" w:hAnsi="宋体"/>
        <w:b/>
        <w:sz w:val="32"/>
        <w:szCs w:val="32"/>
      </w:rPr>
      <w:t>A卷</w:t>
    </w:r>
    <w:r>
      <w:rPr>
        <w:rFonts w:ascii="宋体" w:hAnsi="宋体"/>
        <w:b/>
        <w:sz w:val="32"/>
        <w:szCs w:val="32"/>
      </w:rPr>
      <w:t>)</w:t>
    </w:r>
  </w:p>
  <w:p>
    <w:pPr>
      <w:spacing w:after="360"/>
      <w:jc w:val="center"/>
      <w:rPr>
        <w:rFonts w:hint="eastAsia"/>
        <w:bCs/>
        <w:sz w:val="18"/>
      </w:rPr>
    </w:pPr>
    <w:r>
      <w:rPr>
        <w:rFonts w:hint="eastAsia"/>
        <w:b/>
        <w:sz w:val="32"/>
        <w:szCs w:val="32"/>
      </w:rPr>
      <w:t xml:space="preserve"> </w:t>
    </w:r>
    <w:r>
      <w:rPr>
        <w:bCs/>
        <w:sz w:val="18"/>
      </w:rPr>
      <w:t>(</w:t>
    </w:r>
    <w:r>
      <w:rPr>
        <w:rFonts w:hint="eastAsia"/>
        <w:bCs/>
        <w:sz w:val="18"/>
      </w:rPr>
      <w:t>答案必须写在考点提供的答</w:t>
    </w:r>
    <w:r>
      <w:rPr>
        <w:rFonts w:hint="eastAsia"/>
        <w:sz w:val="18"/>
      </w:rPr>
      <w:t>题</w:t>
    </w:r>
    <w:r>
      <w:rPr>
        <w:rFonts w:hint="eastAsia"/>
        <w:bCs/>
        <w:sz w:val="18"/>
      </w:rPr>
      <w:t>纸上)</w:t>
    </w:r>
  </w:p>
  <w:tbl>
    <w:tblPr>
      <w:tblStyle w:val="8"/>
      <w:tblpPr w:leftFromText="180" w:rightFromText="180" w:vertAnchor="text" w:horzAnchor="page" w:tblpX="1012" w:tblpY="3"/>
      <w:tblOverlap w:val="never"/>
      <w:tblW w:w="0" w:type="auto"/>
      <w:tblInd w:w="0" w:type="dxa"/>
      <w:tblLayout w:type="fixed"/>
      <w:tblCellMar>
        <w:top w:w="0" w:type="dxa"/>
        <w:left w:w="57" w:type="dxa"/>
        <w:bottom w:w="0" w:type="dxa"/>
        <w:right w:w="57" w:type="dxa"/>
      </w:tblCellMar>
    </w:tblPr>
    <w:tblGrid>
      <w:gridCol w:w="1401"/>
      <w:gridCol w:w="499"/>
      <w:gridCol w:w="1226"/>
      <w:gridCol w:w="840"/>
      <w:gridCol w:w="1245"/>
      <w:gridCol w:w="3795"/>
    </w:tblGrid>
    <w:tr>
      <w:tblPrEx>
        <w:tblCellMar>
          <w:top w:w="0" w:type="dxa"/>
          <w:left w:w="57" w:type="dxa"/>
          <w:bottom w:w="0" w:type="dxa"/>
          <w:right w:w="57" w:type="dxa"/>
        </w:tblCellMar>
      </w:tblPrEx>
      <w:trPr>
        <w:wBefore w:w="0" w:type="dxa"/>
        <w:wAfter w:w="0" w:type="dxa"/>
        <w:trHeight w:val="284" w:hRule="atLeast"/>
      </w:trPr>
      <w:tc>
        <w:tcPr>
          <w:tcW w:w="1401" w:type="dxa"/>
          <w:noWrap w:val="0"/>
          <w:vAlign w:val="center"/>
        </w:tcPr>
        <w:p>
          <w:pPr>
            <w:spacing w:after="100" w:afterAutospacing="1"/>
            <w:ind w:left="0" w:firstLine="211" w:firstLineChars="100"/>
            <w:jc w:val="left"/>
            <w:rPr>
              <w:rFonts w:hint="eastAsia"/>
              <w:b/>
              <w:sz w:val="21"/>
            </w:rPr>
          </w:pPr>
          <w:r>
            <w:rPr>
              <w:rFonts w:hint="eastAsia"/>
              <w:b/>
              <w:sz w:val="21"/>
            </w:rPr>
            <w:t xml:space="preserve">科目代码：   </w:t>
          </w:r>
        </w:p>
      </w:tc>
      <w:tc>
        <w:tcPr>
          <w:tcW w:w="499"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434</w:t>
          </w:r>
        </w:p>
      </w:tc>
      <w:tc>
        <w:tcPr>
          <w:tcW w:w="1226" w:type="dxa"/>
          <w:noWrap w:val="0"/>
          <w:vAlign w:val="center"/>
        </w:tcPr>
        <w:p>
          <w:pPr>
            <w:spacing w:after="100" w:afterAutospacing="1"/>
            <w:ind w:left="0" w:firstLine="211" w:firstLineChars="100"/>
            <w:jc w:val="left"/>
            <w:rPr>
              <w:rFonts w:hint="eastAsia"/>
              <w:b/>
              <w:sz w:val="21"/>
            </w:rPr>
          </w:pPr>
          <w:r>
            <w:rPr>
              <w:rFonts w:hint="eastAsia"/>
              <w:b/>
              <w:sz w:val="21"/>
            </w:rPr>
            <w:t xml:space="preserve">总分值： </w:t>
          </w:r>
        </w:p>
      </w:tc>
      <w:tc>
        <w:tcPr>
          <w:tcW w:w="840"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150</w:t>
          </w:r>
        </w:p>
      </w:tc>
      <w:tc>
        <w:tcPr>
          <w:tcW w:w="1245" w:type="dxa"/>
          <w:noWrap w:val="0"/>
          <w:vAlign w:val="center"/>
        </w:tcPr>
        <w:p>
          <w:pPr>
            <w:spacing w:after="100" w:afterAutospacing="1"/>
            <w:ind w:left="0"/>
            <w:jc w:val="left"/>
            <w:rPr>
              <w:rFonts w:hint="eastAsia"/>
              <w:b/>
              <w:sz w:val="21"/>
            </w:rPr>
          </w:pPr>
          <w:r>
            <w:rPr>
              <w:rFonts w:hint="eastAsia"/>
              <w:b/>
              <w:sz w:val="21"/>
            </w:rPr>
            <w:t>科目名称：</w:t>
          </w:r>
        </w:p>
      </w:tc>
      <w:tc>
        <w:tcPr>
          <w:tcW w:w="3795"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国际商务专业基础</w:t>
          </w:r>
        </w:p>
      </w:tc>
    </w:tr>
  </w:tbl>
  <w:p>
    <w:pPr>
      <w:snapToGrid/>
      <w:spacing w:after="120" w:afterLines="50" w:line="360" w:lineRule="auto"/>
      <w:rPr>
        <w:rFonts w:hint="eastAsia"/>
        <w:b/>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67"/>
  <w:hyphenationZone w:val="360"/>
  <w:drawingGridHorizontalSpacing w:val="28"/>
  <w:drawingGridVerticalSpacing w:val="2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29"/>
    <w:rsid w:val="00013661"/>
    <w:rsid w:val="0001656C"/>
    <w:rsid w:val="00024D51"/>
    <w:rsid w:val="00024EA2"/>
    <w:rsid w:val="00073B24"/>
    <w:rsid w:val="00083659"/>
    <w:rsid w:val="000854E4"/>
    <w:rsid w:val="000E185E"/>
    <w:rsid w:val="000E5253"/>
    <w:rsid w:val="00162417"/>
    <w:rsid w:val="0016657D"/>
    <w:rsid w:val="00174B21"/>
    <w:rsid w:val="001B6A47"/>
    <w:rsid w:val="001F0B56"/>
    <w:rsid w:val="00222DC5"/>
    <w:rsid w:val="002236B7"/>
    <w:rsid w:val="002675DC"/>
    <w:rsid w:val="002949A1"/>
    <w:rsid w:val="00296737"/>
    <w:rsid w:val="002C3552"/>
    <w:rsid w:val="002D4C16"/>
    <w:rsid w:val="002E49DA"/>
    <w:rsid w:val="003042AF"/>
    <w:rsid w:val="003053BD"/>
    <w:rsid w:val="00366B2C"/>
    <w:rsid w:val="003E0545"/>
    <w:rsid w:val="003E76BF"/>
    <w:rsid w:val="00481E62"/>
    <w:rsid w:val="00497896"/>
    <w:rsid w:val="004A603F"/>
    <w:rsid w:val="004A6A0B"/>
    <w:rsid w:val="004C5B7E"/>
    <w:rsid w:val="005452EE"/>
    <w:rsid w:val="00551528"/>
    <w:rsid w:val="005C7FD7"/>
    <w:rsid w:val="005E7478"/>
    <w:rsid w:val="006B331D"/>
    <w:rsid w:val="006F46CC"/>
    <w:rsid w:val="007564EC"/>
    <w:rsid w:val="007B7430"/>
    <w:rsid w:val="007D63B3"/>
    <w:rsid w:val="007F2B17"/>
    <w:rsid w:val="00805CBB"/>
    <w:rsid w:val="008074B7"/>
    <w:rsid w:val="00811337"/>
    <w:rsid w:val="00826179"/>
    <w:rsid w:val="0083357C"/>
    <w:rsid w:val="00855B44"/>
    <w:rsid w:val="008B1277"/>
    <w:rsid w:val="008C10DD"/>
    <w:rsid w:val="00920506"/>
    <w:rsid w:val="0095446F"/>
    <w:rsid w:val="00954AB9"/>
    <w:rsid w:val="00973AEA"/>
    <w:rsid w:val="009D440A"/>
    <w:rsid w:val="009E5E20"/>
    <w:rsid w:val="00A1123E"/>
    <w:rsid w:val="00A26938"/>
    <w:rsid w:val="00A75B40"/>
    <w:rsid w:val="00A869FB"/>
    <w:rsid w:val="00AA3A44"/>
    <w:rsid w:val="00AC6C70"/>
    <w:rsid w:val="00AD516C"/>
    <w:rsid w:val="00AE5964"/>
    <w:rsid w:val="00B36632"/>
    <w:rsid w:val="00B46596"/>
    <w:rsid w:val="00B80F2D"/>
    <w:rsid w:val="00BE2DCA"/>
    <w:rsid w:val="00C361BF"/>
    <w:rsid w:val="00C5040C"/>
    <w:rsid w:val="00C75DA7"/>
    <w:rsid w:val="00CB2AF0"/>
    <w:rsid w:val="00CB3E4C"/>
    <w:rsid w:val="00CC6D7B"/>
    <w:rsid w:val="00CD5402"/>
    <w:rsid w:val="00D04C7B"/>
    <w:rsid w:val="00D173E6"/>
    <w:rsid w:val="00D21829"/>
    <w:rsid w:val="00D41882"/>
    <w:rsid w:val="00D70B5F"/>
    <w:rsid w:val="00DA7E79"/>
    <w:rsid w:val="00DE133B"/>
    <w:rsid w:val="00E13DF8"/>
    <w:rsid w:val="00E317D0"/>
    <w:rsid w:val="00E95C62"/>
    <w:rsid w:val="00EB04E6"/>
    <w:rsid w:val="00ED1719"/>
    <w:rsid w:val="00ED2B79"/>
    <w:rsid w:val="00EE5258"/>
    <w:rsid w:val="00F46B29"/>
    <w:rsid w:val="00F56403"/>
    <w:rsid w:val="00F6194E"/>
    <w:rsid w:val="00FA2866"/>
    <w:rsid w:val="00FA29B5"/>
    <w:rsid w:val="00FC39BD"/>
    <w:rsid w:val="00FD2595"/>
    <w:rsid w:val="00FF0FE4"/>
    <w:rsid w:val="0D283D68"/>
    <w:rsid w:val="1C253C0E"/>
    <w:rsid w:val="2DFB66FE"/>
    <w:rsid w:val="3A8136AA"/>
    <w:rsid w:val="3FE17EEF"/>
    <w:rsid w:val="40C0637E"/>
    <w:rsid w:val="40CD0E8B"/>
    <w:rsid w:val="40D016EC"/>
    <w:rsid w:val="4A3A58B2"/>
    <w:rsid w:val="4A3E1C5A"/>
    <w:rsid w:val="50286C1A"/>
    <w:rsid w:val="56F252C4"/>
    <w:rsid w:val="5774063D"/>
    <w:rsid w:val="681175B9"/>
    <w:rsid w:val="7EB36F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ind w:left="57" w:right="57"/>
      <w:jc w:val="both"/>
    </w:pPr>
    <w:rPr>
      <w:snapToGrid w:val="0"/>
      <w:sz w:val="24"/>
      <w:szCs w:val="24"/>
      <w:lang w:val="en-US" w:eastAsia="zh-CN" w:bidi="ar-SA"/>
    </w:rPr>
  </w:style>
  <w:style w:type="paragraph" w:styleId="2">
    <w:name w:val="heading 1"/>
    <w:basedOn w:val="1"/>
    <w:next w:val="1"/>
    <w:qFormat/>
    <w:uiPriority w:val="0"/>
    <w:pPr>
      <w:keepNext/>
      <w:jc w:val="center"/>
      <w:outlineLvl w:val="0"/>
    </w:pPr>
    <w:rPr>
      <w:sz w:val="32"/>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Body Text"/>
    <w:basedOn w:val="1"/>
    <w:uiPriority w:val="0"/>
    <w:pPr>
      <w:spacing w:after="60" w:line="300" w:lineRule="auto"/>
    </w:pPr>
  </w:style>
  <w:style w:type="paragraph" w:styleId="4">
    <w:name w:val="Balloon Text"/>
    <w:basedOn w:val="1"/>
    <w:link w:val="19"/>
    <w:uiPriority w:val="0"/>
    <w:rPr>
      <w:sz w:val="18"/>
      <w:szCs w:val="18"/>
    </w:rPr>
  </w:style>
  <w:style w:type="paragraph" w:styleId="5">
    <w:name w:val="footer"/>
    <w:basedOn w:val="1"/>
    <w:uiPriority w:val="0"/>
    <w:pPr>
      <w:jc w:val="right"/>
    </w:pPr>
    <w:rPr>
      <w:sz w:val="21"/>
      <w:szCs w:val="21"/>
    </w:rPr>
  </w:style>
  <w:style w:type="paragraph" w:styleId="6">
    <w:name w:val="header"/>
    <w:basedOn w:val="1"/>
    <w:uiPriority w:val="0"/>
    <w:pPr>
      <w:pBdr>
        <w:bottom w:val="single" w:color="auto" w:sz="6" w:space="1"/>
      </w:pBdr>
      <w:snapToGrid w:val="0"/>
      <w:jc w:val="center"/>
    </w:pPr>
    <w:rPr>
      <w:sz w:val="18"/>
      <w:szCs w:val="18"/>
    </w:rPr>
  </w:style>
  <w:style w:type="paragraph" w:styleId="7">
    <w:name w:val="Body Text First Indent"/>
    <w:basedOn w:val="3"/>
    <w:uiPriority w:val="0"/>
    <w:pPr>
      <w:tabs>
        <w:tab w:val="right" w:pos="7938"/>
      </w:tabs>
      <w:spacing w:before="60"/>
      <w:ind w:firstLine="567"/>
    </w:pPr>
    <w:rPr>
      <w:snapToGrid w:val="0"/>
      <w:kern w:val="0"/>
      <w:sz w:val="24"/>
      <w:szCs w:val="20"/>
      <w:lang/>
    </w:rPr>
  </w:style>
  <w:style w:type="paragraph" w:customStyle="1" w:styleId="10">
    <w:name w:val="题目条件"/>
    <w:basedOn w:val="1"/>
    <w:next w:val="11"/>
    <w:uiPriority w:val="0"/>
    <w:pPr>
      <w:adjustRightInd w:val="0"/>
      <w:snapToGrid w:val="0"/>
      <w:spacing w:before="60" w:line="300" w:lineRule="auto"/>
      <w:ind w:left="624" w:right="57" w:hanging="567"/>
    </w:pPr>
    <w:rPr>
      <w:b/>
      <w:szCs w:val="20"/>
      <w:lang/>
    </w:rPr>
  </w:style>
  <w:style w:type="paragraph" w:customStyle="1" w:styleId="11">
    <w:name w:val="题目问题"/>
    <w:basedOn w:val="1"/>
    <w:uiPriority w:val="0"/>
    <w:pPr>
      <w:adjustRightInd w:val="0"/>
      <w:snapToGrid w:val="0"/>
      <w:spacing w:before="60" w:line="300" w:lineRule="auto"/>
      <w:ind w:left="1021" w:right="57" w:hanging="454"/>
    </w:pPr>
    <w:rPr>
      <w:sz w:val="21"/>
      <w:szCs w:val="20"/>
      <w:lang/>
    </w:rPr>
  </w:style>
  <w:style w:type="paragraph" w:customStyle="1" w:styleId="12">
    <w:name w:val="表名"/>
    <w:basedOn w:val="1"/>
    <w:next w:val="1"/>
    <w:uiPriority w:val="0"/>
    <w:pPr>
      <w:keepNext/>
      <w:keepLines/>
      <w:widowControl/>
      <w:overflowPunct w:val="0"/>
      <w:autoSpaceDN w:val="0"/>
      <w:adjustRightInd w:val="0"/>
      <w:snapToGrid w:val="0"/>
      <w:spacing w:before="180" w:after="60"/>
      <w:jc w:val="center"/>
    </w:pPr>
    <w:rPr>
      <w:b/>
      <w:snapToGrid w:val="0"/>
      <w:kern w:val="21"/>
      <w:sz w:val="24"/>
    </w:rPr>
  </w:style>
  <w:style w:type="paragraph" w:customStyle="1" w:styleId="13">
    <w:name w:val="图形"/>
    <w:basedOn w:val="1"/>
    <w:next w:val="14"/>
    <w:uiPriority w:val="0"/>
    <w:pPr>
      <w:keepNext/>
      <w:keepLines/>
      <w:widowControl/>
      <w:adjustRightInd w:val="0"/>
      <w:snapToGrid w:val="0"/>
      <w:spacing w:before="180" w:after="60"/>
      <w:jc w:val="center"/>
    </w:pPr>
    <w:rPr>
      <w:snapToGrid w:val="0"/>
      <w:kern w:val="0"/>
      <w:sz w:val="24"/>
      <w:lang/>
    </w:rPr>
  </w:style>
  <w:style w:type="paragraph" w:customStyle="1" w:styleId="14">
    <w:name w:val="图名"/>
    <w:basedOn w:val="1"/>
    <w:next w:val="3"/>
    <w:uiPriority w:val="0"/>
    <w:pPr>
      <w:keepLines/>
      <w:widowControl/>
      <w:adjustRightInd w:val="0"/>
      <w:snapToGrid w:val="0"/>
      <w:spacing w:after="120" w:line="300" w:lineRule="auto"/>
      <w:jc w:val="center"/>
    </w:pPr>
    <w:rPr>
      <w:bCs/>
      <w:snapToGrid w:val="0"/>
      <w:kern w:val="0"/>
      <w:sz w:val="24"/>
      <w:lang/>
    </w:rPr>
  </w:style>
  <w:style w:type="paragraph" w:customStyle="1" w:styleId="15">
    <w:name w:val="表元"/>
    <w:basedOn w:val="1"/>
    <w:uiPriority w:val="0"/>
    <w:pPr>
      <w:widowControl/>
      <w:overflowPunct w:val="0"/>
      <w:autoSpaceDN w:val="0"/>
      <w:adjustRightInd w:val="0"/>
      <w:snapToGrid w:val="0"/>
      <w:ind w:left="57" w:right="57"/>
    </w:pPr>
    <w:rPr>
      <w:snapToGrid w:val="0"/>
      <w:kern w:val="21"/>
      <w:sz w:val="24"/>
    </w:rPr>
  </w:style>
  <w:style w:type="paragraph" w:customStyle="1" w:styleId="16">
    <w:name w:val="表头"/>
    <w:basedOn w:val="1"/>
    <w:next w:val="1"/>
    <w:uiPriority w:val="0"/>
    <w:pPr>
      <w:keepLines/>
      <w:widowControl/>
      <w:overflowPunct w:val="0"/>
      <w:autoSpaceDN w:val="0"/>
      <w:adjustRightInd w:val="0"/>
      <w:snapToGrid w:val="0"/>
      <w:spacing w:before="40" w:after="40"/>
      <w:ind w:left="57" w:right="57"/>
      <w:jc w:val="center"/>
    </w:pPr>
    <w:rPr>
      <w:b/>
      <w:snapToGrid w:val="0"/>
      <w:kern w:val="21"/>
      <w:sz w:val="24"/>
    </w:rPr>
  </w:style>
  <w:style w:type="paragraph" w:customStyle="1" w:styleId="17">
    <w:name w:val="公式"/>
    <w:basedOn w:val="1"/>
    <w:next w:val="3"/>
    <w:uiPriority w:val="0"/>
    <w:pPr>
      <w:widowControl/>
      <w:tabs>
        <w:tab w:val="center" w:pos="4253"/>
        <w:tab w:val="right" w:pos="8505"/>
      </w:tabs>
      <w:overflowPunct w:val="0"/>
      <w:ind w:left="567"/>
    </w:pPr>
    <w:rPr>
      <w:sz w:val="21"/>
    </w:rPr>
  </w:style>
  <w:style w:type="paragraph" w:customStyle="1" w:styleId="18">
    <w:name w:val="编号四选择项"/>
    <w:basedOn w:val="1"/>
    <w:uiPriority w:val="0"/>
    <w:pPr>
      <w:tabs>
        <w:tab w:val="left" w:pos="1134"/>
        <w:tab w:val="left" w:pos="2835"/>
        <w:tab w:val="left" w:pos="4536"/>
        <w:tab w:val="left" w:pos="6237"/>
      </w:tabs>
      <w:spacing w:before="60" w:line="300" w:lineRule="auto"/>
      <w:ind w:left="1191" w:hanging="1134"/>
    </w:pPr>
    <w:rPr>
      <w:sz w:val="21"/>
      <w:szCs w:val="20"/>
      <w:lang/>
    </w:rPr>
  </w:style>
  <w:style w:type="character" w:customStyle="1" w:styleId="19">
    <w:name w:val="批注框文本 Char"/>
    <w:link w:val="4"/>
    <w:uiPriority w:val="0"/>
    <w:rPr>
      <w:snapToGrid/>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1338;&#30805;&#22763;&#33258;&#21629;&#39064;&#35797;&#21367;&#27169;&#26495;\&#23425;&#27874;&#22823;&#23398;&#30740;&#31350;&#29983;&#20837;&#23398;&#35797;&#2136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宁波大学研究生入学试卷</Template>
  <Company>CISE</Company>
  <Pages>2</Pages>
  <Words>267</Words>
  <Characters>1525</Characters>
  <Lines>12</Lines>
  <Paragraphs>3</Paragraphs>
  <TotalTime>0</TotalTime>
  <ScaleCrop>false</ScaleCrop>
  <LinksUpToDate>false</LinksUpToDate>
  <CharactersWithSpaces>1789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2017-10-23T02:52:00Z</dcterms:created>
  <dc:creator>微软用户</dc:creator>
  <cp:lastModifiedBy>Administrator</cp:lastModifiedBy>
  <cp:lastPrinted>2019-11-06T08:43:00Z</cp:lastPrinted>
  <dcterms:modified xsi:type="dcterms:W3CDTF">2021-10-12T01:24:37Z</dcterms:modified>
  <dc:title>宁波大学研究生入学试卷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