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大连理工大学202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年硕士研究生入学考试大纲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科目代码：873     科目名称：公共经济学</w:t>
      </w:r>
    </w:p>
    <w:p>
      <w:pPr>
        <w:spacing w:line="300" w:lineRule="auto"/>
        <w:ind w:left="143" w:leftChars="68" w:right="-617" w:rightChars="-294"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侧重于对考生的专业知识理解能力、运用理论和方法解决问题能力的考查。具体考试大纲如下：</w:t>
      </w:r>
    </w:p>
    <w:p>
      <w:pPr>
        <w:snapToGrid w:val="0"/>
        <w:spacing w:line="300" w:lineRule="auto"/>
        <w:ind w:left="143" w:leftChars="68" w:right="-617" w:rightChars="-294"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一、考试形式和试卷结构</w:t>
      </w:r>
    </w:p>
    <w:p>
      <w:pPr>
        <w:snapToGrid w:val="0"/>
        <w:spacing w:line="300" w:lineRule="auto"/>
        <w:ind w:left="143" w:leftChars="68" w:right="-617" w:rightChars="-294"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本试卷满分150分，考试时间180分钟。</w:t>
      </w:r>
    </w:p>
    <w:p>
      <w:pPr>
        <w:snapToGrid w:val="0"/>
        <w:spacing w:line="300" w:lineRule="auto"/>
        <w:ind w:left="143" w:leftChars="68" w:right="-617" w:rightChars="-294"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二、答题方式</w:t>
      </w:r>
    </w:p>
    <w:p>
      <w:pPr>
        <w:snapToGrid w:val="0"/>
        <w:spacing w:line="300" w:lineRule="auto"/>
        <w:ind w:left="143" w:leftChars="68" w:right="-617" w:rightChars="-294"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闭卷、笔试</w:t>
      </w:r>
    </w:p>
    <w:p>
      <w:pPr>
        <w:snapToGrid w:val="0"/>
        <w:spacing w:line="300" w:lineRule="auto"/>
        <w:ind w:left="143" w:leftChars="68" w:right="-617" w:rightChars="-294"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三、考察内容</w:t>
      </w:r>
    </w:p>
    <w:p>
      <w:pPr>
        <w:spacing w:line="300" w:lineRule="auto"/>
        <w:ind w:left="143" w:leftChars="68" w:right="-617" w:rightChars="-294"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（一）公共部门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经济</w:t>
      </w:r>
      <w:r>
        <w:rPr>
          <w:rFonts w:ascii="宋体" w:hAnsi="宋体"/>
          <w:szCs w:val="21"/>
        </w:rPr>
        <w:t>活动</w:t>
      </w:r>
    </w:p>
    <w:p>
      <w:pPr>
        <w:spacing w:line="300" w:lineRule="auto"/>
        <w:ind w:left="68" w:right="-294" w:firstLine="640"/>
      </w:pPr>
      <w:r>
        <w:rPr>
          <w:rFonts w:hint="eastAsia"/>
        </w:rPr>
        <w:t>1.公共经济学的产生与发展</w:t>
      </w:r>
    </w:p>
    <w:p>
      <w:pPr>
        <w:spacing w:line="300" w:lineRule="auto"/>
        <w:ind w:left="68" w:right="-294" w:firstLine="640"/>
      </w:pPr>
      <w:r>
        <w:rPr>
          <w:rFonts w:hint="eastAsia"/>
        </w:rPr>
        <w:t>2.公共</w:t>
      </w:r>
      <w:r>
        <w:t>财政的职能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3.公共</w:t>
      </w:r>
      <w:r>
        <w:t>物品与公共服务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（二）资源配置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1.帕累托最优原则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2.自由竞争市场的均衡：消费者剩余、生产者剩余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3.市场失灵与政府失灵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（三）公共产品理论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1.公共产品的概念与特征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2.林达尔均衡、免费搭便车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3.准公共产品的类型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4.外部效应的概念、分类、产生原因、经济影响和纠正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（四）公共选择理论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1.公共选择理论的产生与发展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2.投票规则与悖论、唯一性和循环性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3.投票交易、中间人定理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4.寻租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（五）公共预算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1.公共预算概念、功能和原则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2.公共预算的结构类型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3.公共预算管理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（六）公共收入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1.公共收入内涵与原则、主要形式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2.公共税收的定义、要素、原则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3.税收转嫁与归宿</w:t>
      </w:r>
    </w:p>
    <w:p>
      <w:pPr>
        <w:spacing w:line="300" w:lineRule="auto"/>
        <w:ind w:left="68" w:right="-294" w:firstLine="640"/>
      </w:pPr>
      <w:r>
        <w:rPr>
          <w:rFonts w:hint="eastAsia"/>
        </w:rPr>
        <w:t>（七）税收</w:t>
      </w:r>
    </w:p>
    <w:p>
      <w:pPr>
        <w:spacing w:line="300" w:lineRule="auto"/>
        <w:ind w:left="68" w:right="-294" w:firstLine="640"/>
      </w:pPr>
      <w:r>
        <w:rPr>
          <w:rFonts w:hint="eastAsia"/>
        </w:rPr>
        <w:t>1.税收</w:t>
      </w:r>
      <w:r>
        <w:t>原则</w:t>
      </w:r>
      <w:r>
        <w:rPr>
          <w:rFonts w:hint="eastAsia"/>
        </w:rPr>
        <w:t>、税收与公平、税收与效率</w:t>
      </w:r>
    </w:p>
    <w:p>
      <w:pPr>
        <w:spacing w:line="300" w:lineRule="auto"/>
        <w:ind w:left="68" w:right="-294" w:firstLine="640"/>
      </w:pPr>
      <w:r>
        <w:t>2.</w:t>
      </w:r>
      <w:r>
        <w:rPr>
          <w:rFonts w:hint="eastAsia"/>
        </w:rPr>
        <w:t>税收</w:t>
      </w:r>
      <w:r>
        <w:t>效应</w:t>
      </w:r>
    </w:p>
    <w:p>
      <w:pPr>
        <w:spacing w:line="300" w:lineRule="auto"/>
        <w:ind w:left="68" w:right="-294" w:firstLine="640"/>
      </w:pPr>
      <w:r>
        <w:t>3</w:t>
      </w:r>
      <w:r>
        <w:rPr>
          <w:rFonts w:hint="eastAsia"/>
        </w:rPr>
        <w:t>.税收</w:t>
      </w:r>
      <w:r>
        <w:t>转嫁与</w:t>
      </w:r>
      <w:r>
        <w:rPr>
          <w:rFonts w:hint="eastAsia"/>
        </w:rPr>
        <w:t>归宿、局部均衡分析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t>4.</w:t>
      </w:r>
      <w:r>
        <w:rPr>
          <w:rFonts w:hint="eastAsia"/>
        </w:rPr>
        <w:t>税种分类与税制结构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（八）公共支出理论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1.公共支出增长的理论解释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2.公共支出增长的因素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3.公共支出结构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4.影响公共支出结构的因素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5.公共支出的成本—收益分析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（九）消耗性支出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1.内涵与构成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2.消耗性支出与政府行政效率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（十）转移性支出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1.社会保障的概念与功能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2.社会保障支出的资金筹资模式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3.社会保障支出的经济影响</w:t>
      </w:r>
    </w:p>
    <w:p>
      <w:pPr>
        <w:spacing w:line="300" w:lineRule="auto"/>
        <w:ind w:left="68" w:right="-294" w:firstLine="640"/>
      </w:pPr>
      <w:r>
        <w:rPr>
          <w:rFonts w:hint="eastAsia"/>
        </w:rPr>
        <w:t>4.财政补贴的含义及其经济影响</w:t>
      </w:r>
    </w:p>
    <w:p>
      <w:pPr>
        <w:spacing w:line="300" w:lineRule="auto"/>
        <w:ind w:left="68" w:right="-294" w:firstLine="640"/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政府间转移支付</w:t>
      </w:r>
    </w:p>
    <w:p>
      <w:pPr>
        <w:spacing w:line="300" w:lineRule="auto"/>
        <w:ind w:left="68" w:right="-294" w:firstLine="640"/>
      </w:pPr>
      <w:r>
        <w:rPr>
          <w:rFonts w:hint="eastAsia"/>
        </w:rPr>
        <w:t>（十一）财政</w:t>
      </w:r>
      <w:r>
        <w:t>乘数与财政政策</w:t>
      </w:r>
    </w:p>
    <w:p>
      <w:pPr>
        <w:spacing w:line="300" w:lineRule="auto"/>
        <w:ind w:right="-294" w:firstLine="630" w:firstLineChars="300"/>
        <w:rPr>
          <w:rFonts w:ascii="宋体" w:hAnsi="宋体"/>
          <w:szCs w:val="21"/>
        </w:rPr>
      </w:pPr>
      <w:r>
        <w:rPr>
          <w:rFonts w:hint="eastAsia"/>
        </w:rPr>
        <w:t>1.预算</w:t>
      </w:r>
      <w:r>
        <w:t>平衡与功能财政</w:t>
      </w:r>
    </w:p>
    <w:p>
      <w:pPr>
        <w:spacing w:line="300" w:lineRule="auto"/>
        <w:ind w:right="-294" w:firstLine="630" w:firstLineChars="300"/>
        <w:rPr>
          <w:rFonts w:ascii="宋体" w:hAnsi="宋体"/>
          <w:szCs w:val="21"/>
        </w:rPr>
      </w:pPr>
      <w:r>
        <w:rPr>
          <w:rFonts w:hint="eastAsia"/>
        </w:rPr>
        <w:t>2.财政乘数</w:t>
      </w:r>
    </w:p>
    <w:p>
      <w:pPr>
        <w:spacing w:line="300" w:lineRule="auto"/>
        <w:ind w:right="-294" w:firstLine="630" w:firstLineChars="300"/>
        <w:rPr>
          <w:rFonts w:ascii="宋体" w:hAnsi="宋体"/>
          <w:szCs w:val="21"/>
        </w:rPr>
      </w:pPr>
      <w:r>
        <w:rPr>
          <w:rFonts w:hint="eastAsia"/>
        </w:rPr>
        <w:t>3.自决&amp;</w:t>
      </w:r>
      <w:r>
        <w:t>非自决的财政政策</w:t>
      </w:r>
    </w:p>
    <w:p>
      <w:pPr>
        <w:spacing w:line="300" w:lineRule="auto"/>
        <w:ind w:right="-294" w:firstLine="630" w:firstLineChars="300"/>
      </w:pPr>
      <w:r>
        <w:rPr>
          <w:rFonts w:hint="eastAsia"/>
        </w:rPr>
        <w:t>4.多级</w:t>
      </w:r>
      <w:r>
        <w:t>政府间财政政策</w:t>
      </w:r>
    </w:p>
    <w:p>
      <w:pPr>
        <w:spacing w:line="300" w:lineRule="auto"/>
        <w:ind w:right="-294"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（十二）公债的运用与管理</w:t>
      </w:r>
    </w:p>
    <w:p>
      <w:pPr>
        <w:spacing w:line="300" w:lineRule="auto"/>
        <w:ind w:right="-294" w:firstLine="630" w:firstLineChars="3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公债的含义与种类</w:t>
      </w:r>
    </w:p>
    <w:p>
      <w:pPr>
        <w:spacing w:line="300" w:lineRule="auto"/>
        <w:ind w:right="-294" w:firstLine="630" w:firstLineChars="300"/>
      </w:pPr>
      <w:r>
        <w:t>2.</w:t>
      </w:r>
      <w:r>
        <w:rPr>
          <w:rFonts w:hint="eastAsia"/>
        </w:rPr>
        <w:t>公债的发行与应债来源</w:t>
      </w:r>
    </w:p>
    <w:p>
      <w:pPr>
        <w:spacing w:line="300" w:lineRule="auto"/>
        <w:ind w:right="-294" w:firstLine="630" w:firstLineChars="300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公债的还本付息与宏观调控管理</w:t>
      </w:r>
    </w:p>
    <w:p>
      <w:pPr>
        <w:spacing w:line="300" w:lineRule="auto"/>
        <w:ind w:left="68" w:right="-294" w:hanging="6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复习参考资料：</w:t>
      </w:r>
    </w:p>
    <w:p>
      <w:pPr>
        <w:spacing w:line="300" w:lineRule="auto"/>
        <w:ind w:right="-294" w:firstLine="630" w:firstLineChars="300"/>
      </w:pPr>
      <w:r>
        <w:t>1</w:t>
      </w:r>
      <w:r>
        <w:rPr>
          <w:rFonts w:hint="eastAsia"/>
        </w:rPr>
        <w:t>.《公共经济学》（第三版），高培勇编著，中国人民大学出版社，2012年；</w:t>
      </w:r>
    </w:p>
    <w:p>
      <w:pPr>
        <w:spacing w:line="300" w:lineRule="auto"/>
        <w:ind w:right="-294" w:firstLine="630" w:firstLineChars="300"/>
        <w:rPr>
          <w:rFonts w:hint="eastAsia"/>
        </w:rPr>
      </w:pPr>
      <w:r>
        <w:t>2</w:t>
      </w:r>
      <w:r>
        <w:rPr>
          <w:rFonts w:hint="eastAsia"/>
        </w:rPr>
        <w:t>.《公共经济学》（第二版），陈树文等编著，大连理工大学出版社，2011年</w:t>
      </w:r>
    </w:p>
    <w:p>
      <w:pPr>
        <w:spacing w:line="300" w:lineRule="auto"/>
        <w:ind w:right="-294" w:firstLine="630" w:firstLineChars="3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89"/>
    <w:rsid w:val="00001E88"/>
    <w:rsid w:val="00032424"/>
    <w:rsid w:val="00051E9A"/>
    <w:rsid w:val="00054530"/>
    <w:rsid w:val="00084065"/>
    <w:rsid w:val="000C0AE8"/>
    <w:rsid w:val="000E5A9C"/>
    <w:rsid w:val="00103841"/>
    <w:rsid w:val="00151D13"/>
    <w:rsid w:val="00184A85"/>
    <w:rsid w:val="00187225"/>
    <w:rsid w:val="001960CA"/>
    <w:rsid w:val="001A2E7F"/>
    <w:rsid w:val="001A33F8"/>
    <w:rsid w:val="001D5A7D"/>
    <w:rsid w:val="00215BA9"/>
    <w:rsid w:val="00236490"/>
    <w:rsid w:val="00237299"/>
    <w:rsid w:val="00245E19"/>
    <w:rsid w:val="00291983"/>
    <w:rsid w:val="002953F4"/>
    <w:rsid w:val="002A1767"/>
    <w:rsid w:val="002D6689"/>
    <w:rsid w:val="002E0864"/>
    <w:rsid w:val="002F68C8"/>
    <w:rsid w:val="0030486D"/>
    <w:rsid w:val="00304BCD"/>
    <w:rsid w:val="00305468"/>
    <w:rsid w:val="0034447B"/>
    <w:rsid w:val="0035275E"/>
    <w:rsid w:val="00365CA5"/>
    <w:rsid w:val="0037666A"/>
    <w:rsid w:val="00391D07"/>
    <w:rsid w:val="003B0E7D"/>
    <w:rsid w:val="003C1045"/>
    <w:rsid w:val="003E390C"/>
    <w:rsid w:val="003F3447"/>
    <w:rsid w:val="004223A6"/>
    <w:rsid w:val="00456203"/>
    <w:rsid w:val="0046615B"/>
    <w:rsid w:val="004751E9"/>
    <w:rsid w:val="0047640A"/>
    <w:rsid w:val="004C3ED5"/>
    <w:rsid w:val="004D1D0F"/>
    <w:rsid w:val="004F0789"/>
    <w:rsid w:val="004F6C0B"/>
    <w:rsid w:val="005063A5"/>
    <w:rsid w:val="0054363D"/>
    <w:rsid w:val="005635BC"/>
    <w:rsid w:val="00563C1F"/>
    <w:rsid w:val="005710AE"/>
    <w:rsid w:val="00597C60"/>
    <w:rsid w:val="006257A6"/>
    <w:rsid w:val="00630D38"/>
    <w:rsid w:val="00651AFD"/>
    <w:rsid w:val="0066393F"/>
    <w:rsid w:val="006A1296"/>
    <w:rsid w:val="006B0E78"/>
    <w:rsid w:val="006D2509"/>
    <w:rsid w:val="0070713F"/>
    <w:rsid w:val="00710D2C"/>
    <w:rsid w:val="0073490F"/>
    <w:rsid w:val="00747357"/>
    <w:rsid w:val="00753E0D"/>
    <w:rsid w:val="00756627"/>
    <w:rsid w:val="00756BD0"/>
    <w:rsid w:val="007635DD"/>
    <w:rsid w:val="00775D5E"/>
    <w:rsid w:val="007D188F"/>
    <w:rsid w:val="008054BD"/>
    <w:rsid w:val="00811FF7"/>
    <w:rsid w:val="0081217B"/>
    <w:rsid w:val="00830155"/>
    <w:rsid w:val="008707B1"/>
    <w:rsid w:val="00891068"/>
    <w:rsid w:val="00896868"/>
    <w:rsid w:val="008A2A75"/>
    <w:rsid w:val="008B6DF9"/>
    <w:rsid w:val="008D781D"/>
    <w:rsid w:val="008E0002"/>
    <w:rsid w:val="009100DE"/>
    <w:rsid w:val="00933695"/>
    <w:rsid w:val="00972587"/>
    <w:rsid w:val="00987532"/>
    <w:rsid w:val="009C0220"/>
    <w:rsid w:val="009D779E"/>
    <w:rsid w:val="00A20514"/>
    <w:rsid w:val="00A22299"/>
    <w:rsid w:val="00A7110A"/>
    <w:rsid w:val="00A92072"/>
    <w:rsid w:val="00B63E75"/>
    <w:rsid w:val="00B948D2"/>
    <w:rsid w:val="00BB4A77"/>
    <w:rsid w:val="00BC77F0"/>
    <w:rsid w:val="00BD7D4C"/>
    <w:rsid w:val="00C071F4"/>
    <w:rsid w:val="00C7222B"/>
    <w:rsid w:val="00C922D1"/>
    <w:rsid w:val="00C94BC7"/>
    <w:rsid w:val="00C967A3"/>
    <w:rsid w:val="00CB3188"/>
    <w:rsid w:val="00CD30EE"/>
    <w:rsid w:val="00CE0A87"/>
    <w:rsid w:val="00CF57C2"/>
    <w:rsid w:val="00D20610"/>
    <w:rsid w:val="00D306F9"/>
    <w:rsid w:val="00D478AA"/>
    <w:rsid w:val="00D53591"/>
    <w:rsid w:val="00D74836"/>
    <w:rsid w:val="00DB27C5"/>
    <w:rsid w:val="00DB6207"/>
    <w:rsid w:val="00E2273D"/>
    <w:rsid w:val="00E231C1"/>
    <w:rsid w:val="00E612B5"/>
    <w:rsid w:val="00EC069D"/>
    <w:rsid w:val="00EE3341"/>
    <w:rsid w:val="00EF3E56"/>
    <w:rsid w:val="00F27398"/>
    <w:rsid w:val="00F70528"/>
    <w:rsid w:val="00F75B9F"/>
    <w:rsid w:val="00F94CB9"/>
    <w:rsid w:val="00FA75AB"/>
    <w:rsid w:val="00FA7788"/>
    <w:rsid w:val="00FC3B89"/>
    <w:rsid w:val="00FC7D33"/>
    <w:rsid w:val="00FF369B"/>
    <w:rsid w:val="136B72F3"/>
    <w:rsid w:val="19AA53E0"/>
    <w:rsid w:val="2A723A74"/>
    <w:rsid w:val="45EE7B22"/>
    <w:rsid w:val="644D0E4E"/>
    <w:rsid w:val="77CD7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8">
    <w:name w:val="正文_6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782</Characters>
  <Lines>6</Lines>
  <Paragraphs>1</Paragraphs>
  <TotalTime>0</TotalTime>
  <ScaleCrop>false</ScaleCrop>
  <LinksUpToDate>false</LinksUpToDate>
  <CharactersWithSpaces>918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2020-08-27T02:12:00Z</dcterms:created>
  <dc:creator>微软中国</dc:creator>
  <cp:lastModifiedBy>Administrator</cp:lastModifiedBy>
  <dcterms:modified xsi:type="dcterms:W3CDTF">2021-10-11T05:35:42Z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