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eastAsia="楷体_GB2312"/>
          <w:sz w:val="30"/>
          <w:szCs w:val="30"/>
        </w:rPr>
      </w:pPr>
      <w:bookmarkStart w:id="2" w:name="_GoBack"/>
      <w:bookmarkEnd w:id="2"/>
      <w:r>
        <w:rPr>
          <w:rFonts w:hint="eastAsia" w:ascii="楷体_GB2312" w:eastAsia="楷体_GB2312"/>
          <w:sz w:val="30"/>
          <w:szCs w:val="30"/>
        </w:rPr>
        <w:t>贵州师范大学全国硕士研究生入学考试大纲</w:t>
      </w:r>
    </w:p>
    <w:p>
      <w:pPr>
        <w:jc w:val="center"/>
        <w:rPr>
          <w:rFonts w:hint="eastAsia" w:ascii="楷体_GB2312" w:eastAsia="楷体_GB2312"/>
          <w:sz w:val="30"/>
          <w:szCs w:val="30"/>
        </w:rPr>
      </w:pPr>
      <w:r>
        <w:rPr>
          <w:rFonts w:hint="eastAsia" w:ascii="楷体_GB2312" w:eastAsia="楷体_GB2312"/>
          <w:sz w:val="30"/>
          <w:szCs w:val="30"/>
        </w:rPr>
        <w:t>（科目： 代码 828     高等代数）</w:t>
      </w:r>
    </w:p>
    <w:p>
      <w:pPr>
        <w:rPr>
          <w:rFonts w:hint="eastAsia" w:ascii="ˎ̥" w:hAnsi="ˎ̥"/>
          <w:color w:val="333333"/>
          <w:sz w:val="30"/>
          <w:szCs w:val="30"/>
        </w:rPr>
      </w:pPr>
    </w:p>
    <w:p>
      <w:pPr>
        <w:rPr>
          <w:rFonts w:hint="eastAsia"/>
          <w:b/>
          <w:kern w:val="0"/>
          <w:sz w:val="28"/>
          <w:szCs w:val="28"/>
        </w:rPr>
      </w:pPr>
      <w:r>
        <w:rPr>
          <w:rFonts w:hint="eastAsia"/>
          <w:b/>
          <w:kern w:val="0"/>
          <w:sz w:val="28"/>
          <w:szCs w:val="28"/>
        </w:rPr>
        <w:t>第一部分  考试说明</w:t>
      </w:r>
    </w:p>
    <w:p>
      <w:pPr>
        <w:rPr>
          <w:rFonts w:hint="eastAsia"/>
          <w:b/>
          <w:kern w:val="0"/>
        </w:rPr>
      </w:pPr>
    </w:p>
    <w:p>
      <w:pPr>
        <w:ind w:firstLine="560" w:firstLineChars="200"/>
        <w:rPr>
          <w:rFonts w:hint="eastAsia"/>
          <w:kern w:val="0"/>
          <w:sz w:val="28"/>
          <w:szCs w:val="28"/>
        </w:rPr>
      </w:pPr>
      <w:r>
        <w:rPr>
          <w:kern w:val="0"/>
          <w:sz w:val="28"/>
          <w:szCs w:val="28"/>
        </w:rPr>
        <w:t>本《高等代数》考试大纲适用于</w:t>
      </w:r>
      <w:r>
        <w:rPr>
          <w:rFonts w:hint="eastAsia"/>
          <w:kern w:val="0"/>
          <w:sz w:val="28"/>
          <w:szCs w:val="28"/>
        </w:rPr>
        <w:t>贵州师范大学数学与计算机科学学院数学</w:t>
      </w:r>
      <w:r>
        <w:rPr>
          <w:kern w:val="0"/>
          <w:sz w:val="28"/>
          <w:szCs w:val="28"/>
        </w:rPr>
        <w:t>专业硕士研究生入学考试。高等代数是大学数学系本科学生的最基本课程之一，也是大多数理工科专业学生的必修基础课。要求考生熟悉基本概念、掌握基本定理、有较强的运算能力和综合分析解决问题能力。</w:t>
      </w:r>
    </w:p>
    <w:p>
      <w:pPr>
        <w:rPr>
          <w:rFonts w:hint="eastAsia" w:ascii="宋体" w:hAnsi="宋体" w:cs="宋体"/>
          <w:color w:val="333333"/>
          <w:kern w:val="0"/>
          <w:sz w:val="28"/>
          <w:szCs w:val="28"/>
        </w:rPr>
      </w:pPr>
      <w:r>
        <w:rPr>
          <w:rFonts w:hint="eastAsia" w:ascii="宋体" w:hAnsi="宋体" w:cs="宋体"/>
          <w:color w:val="333333"/>
          <w:kern w:val="0"/>
          <w:sz w:val="28"/>
          <w:szCs w:val="28"/>
        </w:rPr>
        <w:t>1考试目的</w:t>
      </w:r>
    </w:p>
    <w:p>
      <w:pPr>
        <w:rPr>
          <w:rFonts w:hint="eastAsia"/>
          <w:kern w:val="0"/>
          <w:sz w:val="28"/>
          <w:szCs w:val="28"/>
        </w:rPr>
      </w:pPr>
      <w:r>
        <w:rPr>
          <w:rFonts w:hint="eastAsia"/>
          <w:kern w:val="0"/>
          <w:sz w:val="28"/>
          <w:szCs w:val="28"/>
        </w:rPr>
        <w:t xml:space="preserve">   《高等代数》是我校数学与计算机科学学院招收全日制硕士研究生而设置的具有选拔性质的入学考试科目，其目的是考察学生是否具备本学科各专业硕士研究生学习所要求的水平，为我校数学与计算机科学学院择优选拔硕士研究生提供依据。</w:t>
      </w:r>
    </w:p>
    <w:p>
      <w:pPr>
        <w:rPr>
          <w:rFonts w:hint="eastAsia"/>
          <w:bCs/>
          <w:kern w:val="0"/>
          <w:sz w:val="28"/>
          <w:szCs w:val="28"/>
        </w:rPr>
      </w:pPr>
      <w:r>
        <w:rPr>
          <w:rFonts w:hint="eastAsia"/>
          <w:bCs/>
          <w:kern w:val="0"/>
          <w:sz w:val="28"/>
          <w:szCs w:val="28"/>
        </w:rPr>
        <w:t>2</w:t>
      </w:r>
      <w:r>
        <w:rPr>
          <w:bCs/>
          <w:kern w:val="0"/>
          <w:sz w:val="28"/>
          <w:szCs w:val="28"/>
        </w:rPr>
        <w:t>考试的基本要求</w:t>
      </w:r>
    </w:p>
    <w:p>
      <w:pPr>
        <w:ind w:firstLine="280" w:firstLineChars="100"/>
        <w:rPr>
          <w:rFonts w:hint="eastAsia"/>
          <w:sz w:val="28"/>
          <w:szCs w:val="28"/>
        </w:rPr>
      </w:pPr>
      <w:r>
        <w:rPr>
          <w:rFonts w:hint="eastAsia"/>
          <w:sz w:val="28"/>
          <w:szCs w:val="28"/>
        </w:rPr>
        <w:t>1）</w:t>
      </w:r>
      <w:r>
        <w:rPr>
          <w:sz w:val="28"/>
          <w:szCs w:val="28"/>
        </w:rPr>
        <w:t>要求考生比较系统地理解高等代数的基本概念和基本理论</w:t>
      </w:r>
      <w:r>
        <w:rPr>
          <w:rFonts w:hint="eastAsia"/>
          <w:sz w:val="28"/>
          <w:szCs w:val="28"/>
        </w:rPr>
        <w:t>；2）</w:t>
      </w:r>
      <w:r>
        <w:rPr>
          <w:sz w:val="28"/>
          <w:szCs w:val="28"/>
        </w:rPr>
        <w:t>掌握高等代数的基本思想和方法</w:t>
      </w:r>
      <w:r>
        <w:rPr>
          <w:rFonts w:hint="eastAsia"/>
          <w:sz w:val="28"/>
          <w:szCs w:val="28"/>
        </w:rPr>
        <w:t>；3）</w:t>
      </w:r>
      <w:r>
        <w:rPr>
          <w:sz w:val="28"/>
          <w:szCs w:val="28"/>
        </w:rPr>
        <w:t>要求考生具有抽象思维能力、逻辑推理能力、运算能力和综合运用所学的知识分析问题和解决问题的能力。</w:t>
      </w:r>
    </w:p>
    <w:p>
      <w:pPr>
        <w:rPr>
          <w:rFonts w:hint="eastAsia" w:ascii="宋体" w:hAnsi="宋体" w:cs="宋体"/>
          <w:color w:val="333333"/>
          <w:kern w:val="0"/>
          <w:sz w:val="28"/>
          <w:szCs w:val="28"/>
        </w:rPr>
      </w:pPr>
      <w:r>
        <w:rPr>
          <w:rFonts w:hint="eastAsia" w:ascii="宋体" w:hAnsi="宋体" w:cs="宋体"/>
          <w:color w:val="333333"/>
          <w:kern w:val="0"/>
          <w:sz w:val="28"/>
          <w:szCs w:val="28"/>
        </w:rPr>
        <w:t>3考试形式和试卷结构</w:t>
      </w:r>
    </w:p>
    <w:p>
      <w:pPr>
        <w:numPr>
          <w:ilvl w:val="0"/>
          <w:numId w:val="1"/>
        </w:numPr>
        <w:rPr>
          <w:rFonts w:hint="eastAsia" w:ascii="宋体" w:hAnsi="宋体" w:cs="宋体"/>
          <w:color w:val="333333"/>
          <w:kern w:val="0"/>
          <w:sz w:val="28"/>
          <w:szCs w:val="28"/>
        </w:rPr>
      </w:pPr>
      <w:r>
        <w:rPr>
          <w:rFonts w:hint="eastAsia" w:ascii="宋体" w:hAnsi="宋体" w:cs="宋体"/>
          <w:color w:val="333333"/>
          <w:kern w:val="0"/>
          <w:sz w:val="28"/>
          <w:szCs w:val="28"/>
        </w:rPr>
        <w:t>答卷方式：闭卷，笔试；所列题目全部为必答题。</w:t>
      </w:r>
    </w:p>
    <w:p>
      <w:pPr>
        <w:numPr>
          <w:ilvl w:val="0"/>
          <w:numId w:val="1"/>
        </w:numPr>
        <w:rPr>
          <w:rFonts w:hint="eastAsia" w:ascii="宋体" w:hAnsi="宋体" w:cs="宋体"/>
          <w:color w:val="333333"/>
          <w:kern w:val="0"/>
          <w:sz w:val="28"/>
          <w:szCs w:val="28"/>
        </w:rPr>
      </w:pPr>
      <w:r>
        <w:rPr>
          <w:rFonts w:hint="eastAsia" w:ascii="宋体" w:hAnsi="宋体" w:cs="宋体"/>
          <w:color w:val="333333"/>
          <w:kern w:val="0"/>
          <w:sz w:val="28"/>
          <w:szCs w:val="28"/>
        </w:rPr>
        <w:t>答题时间：180分钟。</w:t>
      </w:r>
    </w:p>
    <w:p>
      <w:pPr>
        <w:numPr>
          <w:ilvl w:val="0"/>
          <w:numId w:val="1"/>
        </w:numPr>
        <w:rPr>
          <w:rFonts w:hint="eastAsia" w:ascii="宋体" w:hAnsi="宋体" w:cs="宋体"/>
          <w:color w:val="333333"/>
          <w:kern w:val="0"/>
          <w:sz w:val="28"/>
          <w:szCs w:val="28"/>
        </w:rPr>
      </w:pPr>
      <w:r>
        <w:rPr>
          <w:rFonts w:hint="eastAsia" w:ascii="宋体" w:hAnsi="宋体" w:cs="宋体"/>
          <w:color w:val="333333"/>
          <w:kern w:val="0"/>
          <w:sz w:val="28"/>
          <w:szCs w:val="28"/>
        </w:rPr>
        <w:t>试卷成绩：150分。</w:t>
      </w:r>
    </w:p>
    <w:p>
      <w:pPr>
        <w:numPr>
          <w:ilvl w:val="0"/>
          <w:numId w:val="1"/>
        </w:numPr>
        <w:rPr>
          <w:rFonts w:hint="eastAsia" w:ascii="宋体" w:hAnsi="宋体" w:cs="宋体"/>
          <w:color w:val="333333"/>
          <w:kern w:val="0"/>
          <w:sz w:val="28"/>
          <w:szCs w:val="28"/>
        </w:rPr>
      </w:pPr>
      <w:r>
        <w:rPr>
          <w:rFonts w:hint="eastAsia" w:ascii="宋体" w:hAnsi="宋体" w:cs="宋体"/>
          <w:color w:val="333333"/>
          <w:kern w:val="0"/>
          <w:sz w:val="28"/>
          <w:szCs w:val="28"/>
        </w:rPr>
        <w:t>各部分的考查比例：</w:t>
      </w:r>
    </w:p>
    <w:p>
      <w:pPr>
        <w:ind w:left="570"/>
        <w:rPr>
          <w:rFonts w:hint="eastAsia" w:ascii="宋体" w:hAnsi="宋体" w:cs="宋体"/>
          <w:color w:val="333333"/>
          <w:kern w:val="0"/>
          <w:sz w:val="28"/>
          <w:szCs w:val="28"/>
        </w:rPr>
      </w:pPr>
      <w:r>
        <w:rPr>
          <w:rFonts w:hint="eastAsia" w:ascii="宋体" w:hAnsi="宋体" w:cs="宋体"/>
          <w:color w:val="333333"/>
          <w:kern w:val="0"/>
          <w:sz w:val="28"/>
          <w:szCs w:val="28"/>
        </w:rPr>
        <w:t>多项式理论                  约10%</w:t>
      </w:r>
    </w:p>
    <w:p>
      <w:pPr>
        <w:ind w:left="570"/>
        <w:rPr>
          <w:rFonts w:hint="eastAsia" w:ascii="宋体" w:hAnsi="宋体" w:cs="宋体"/>
          <w:color w:val="333333"/>
          <w:kern w:val="0"/>
          <w:sz w:val="28"/>
          <w:szCs w:val="28"/>
        </w:rPr>
      </w:pPr>
      <w:r>
        <w:rPr>
          <w:rFonts w:hint="eastAsia" w:ascii="宋体" w:hAnsi="宋体" w:cs="宋体"/>
          <w:color w:val="333333"/>
          <w:kern w:val="0"/>
          <w:sz w:val="28"/>
          <w:szCs w:val="28"/>
        </w:rPr>
        <w:t>行列式、线性方程组、矩阵    约35%</w:t>
      </w:r>
    </w:p>
    <w:p>
      <w:pPr>
        <w:ind w:left="570"/>
        <w:rPr>
          <w:rFonts w:hint="eastAsia" w:ascii="宋体" w:hAnsi="宋体" w:cs="宋体"/>
          <w:color w:val="333333"/>
          <w:kern w:val="0"/>
          <w:sz w:val="28"/>
          <w:szCs w:val="28"/>
        </w:rPr>
      </w:pPr>
      <w:r>
        <w:rPr>
          <w:rFonts w:hint="eastAsia" w:ascii="宋体" w:hAnsi="宋体" w:cs="宋体"/>
          <w:color w:val="333333"/>
          <w:kern w:val="0"/>
          <w:sz w:val="28"/>
          <w:szCs w:val="28"/>
        </w:rPr>
        <w:t>线性空间、线性变换          约30%</w:t>
      </w:r>
    </w:p>
    <w:p>
      <w:pPr>
        <w:ind w:left="570"/>
        <w:rPr>
          <w:rFonts w:hint="eastAsia" w:ascii="宋体" w:hAnsi="宋体" w:cs="宋体"/>
          <w:color w:val="333333"/>
          <w:kern w:val="0"/>
          <w:sz w:val="28"/>
          <w:szCs w:val="28"/>
        </w:rPr>
      </w:pPr>
      <w:r>
        <w:rPr>
          <w:rFonts w:hint="eastAsia" w:ascii="宋体" w:hAnsi="宋体" w:cs="宋体"/>
          <w:color w:val="333333"/>
          <w:kern w:val="0"/>
          <w:sz w:val="28"/>
          <w:szCs w:val="28"/>
        </w:rPr>
        <w:t>欧氏空间、二次型            约15%</w:t>
      </w:r>
    </w:p>
    <w:p>
      <w:pPr>
        <w:ind w:left="570"/>
        <w:rPr>
          <w:rFonts w:hint="eastAsia" w:ascii="宋体" w:hAnsi="宋体" w:cs="宋体"/>
          <w:color w:val="333333"/>
          <w:kern w:val="0"/>
          <w:sz w:val="28"/>
          <w:szCs w:val="28"/>
        </w:rPr>
      </w:pPr>
      <w:r>
        <w:rPr>
          <w:rFonts w:hint="eastAsia" w:ascii="宋体" w:hAnsi="宋体" w:cs="宋体"/>
          <w:color w:val="333333"/>
          <w:kern w:val="0"/>
          <w:sz w:val="28"/>
          <w:szCs w:val="28"/>
        </w:rPr>
        <w:t>综合题                      约10%</w:t>
      </w:r>
    </w:p>
    <w:p>
      <w:pPr>
        <w:ind w:left="210"/>
        <w:rPr>
          <w:rFonts w:hint="eastAsia" w:ascii="宋体" w:hAnsi="宋体" w:cs="宋体"/>
          <w:color w:val="333333"/>
          <w:kern w:val="0"/>
          <w:sz w:val="28"/>
          <w:szCs w:val="28"/>
        </w:rPr>
      </w:pPr>
      <w:r>
        <w:rPr>
          <w:rFonts w:hint="eastAsia" w:ascii="宋体" w:hAnsi="宋体" w:cs="宋体"/>
          <w:color w:val="333333"/>
          <w:kern w:val="0"/>
          <w:sz w:val="28"/>
          <w:szCs w:val="28"/>
        </w:rPr>
        <w:t xml:space="preserve"> 5）题型：填空、计算、证明  </w:t>
      </w:r>
    </w:p>
    <w:p>
      <w:pPr>
        <w:rPr>
          <w:rFonts w:hint="eastAsia"/>
          <w:sz w:val="28"/>
          <w:szCs w:val="28"/>
        </w:rPr>
      </w:pPr>
      <w:r>
        <w:rPr>
          <w:rFonts w:hint="eastAsia"/>
          <w:sz w:val="28"/>
          <w:szCs w:val="28"/>
        </w:rPr>
        <w:t xml:space="preserve">  6）参考书目</w:t>
      </w:r>
    </w:p>
    <w:p>
      <w:pPr>
        <w:ind w:firstLine="280" w:firstLineChars="100"/>
        <w:rPr>
          <w:rFonts w:hint="eastAsia" w:ascii="宋体" w:hAnsi="宋体" w:cs="宋体"/>
          <w:color w:val="333333"/>
          <w:kern w:val="0"/>
          <w:sz w:val="28"/>
          <w:szCs w:val="28"/>
        </w:rPr>
      </w:pPr>
      <w:r>
        <w:rPr>
          <w:rFonts w:ascii="宋体" w:hAnsi="宋体" w:cs="宋体"/>
          <w:color w:val="333333"/>
          <w:kern w:val="0"/>
          <w:sz w:val="28"/>
          <w:szCs w:val="28"/>
        </w:rPr>
        <w:t xml:space="preserve">[1] 北京大学编《高等代数》，高等教育出版社，2003年7月第3版 </w:t>
      </w:r>
      <w:r>
        <w:rPr>
          <w:rFonts w:hint="eastAsia" w:ascii="宋体" w:hAnsi="宋体" w:cs="宋体"/>
          <w:color w:val="333333"/>
          <w:kern w:val="0"/>
          <w:sz w:val="28"/>
          <w:szCs w:val="28"/>
        </w:rPr>
        <w:t>.</w:t>
      </w:r>
    </w:p>
    <w:p>
      <w:pPr>
        <w:ind w:firstLine="280" w:firstLineChars="100"/>
        <w:rPr>
          <w:rFonts w:hint="eastAsia" w:ascii="宋体" w:hAnsi="宋体" w:cs="宋体"/>
          <w:color w:val="333333"/>
          <w:kern w:val="0"/>
          <w:sz w:val="28"/>
          <w:szCs w:val="28"/>
        </w:rPr>
      </w:pPr>
      <w:r>
        <w:rPr>
          <w:rFonts w:hint="eastAsia" w:ascii="宋体" w:hAnsi="宋体" w:cs="宋体"/>
          <w:color w:val="333333"/>
          <w:kern w:val="0"/>
          <w:sz w:val="28"/>
          <w:szCs w:val="28"/>
        </w:rPr>
        <w:t xml:space="preserve">[2] </w:t>
      </w:r>
      <w:r>
        <w:rPr>
          <w:rFonts w:ascii="宋体" w:hAnsi="宋体" w:cs="宋体"/>
          <w:color w:val="333333"/>
          <w:kern w:val="0"/>
          <w:sz w:val="28"/>
          <w:szCs w:val="28"/>
        </w:rPr>
        <w:t xml:space="preserve">张禾瑞，郝鈵新，《高等代数》，高等教育出版社， </w:t>
      </w:r>
      <w:r>
        <w:rPr>
          <w:rFonts w:hint="eastAsia" w:ascii="宋体" w:hAnsi="宋体" w:cs="宋体"/>
          <w:color w:val="333333"/>
          <w:kern w:val="0"/>
          <w:sz w:val="28"/>
          <w:szCs w:val="28"/>
        </w:rPr>
        <w:t>200</w:t>
      </w:r>
      <w:r>
        <w:rPr>
          <w:rFonts w:ascii="宋体" w:hAnsi="宋体" w:cs="宋体"/>
          <w:color w:val="333333"/>
          <w:kern w:val="0"/>
          <w:sz w:val="28"/>
          <w:szCs w:val="28"/>
        </w:rPr>
        <w:t>7.</w:t>
      </w:r>
      <w:r>
        <w:rPr>
          <w:rFonts w:hint="eastAsia" w:ascii="宋体" w:hAnsi="宋体" w:cs="宋体"/>
          <w:color w:val="333333"/>
          <w:kern w:val="0"/>
          <w:sz w:val="28"/>
          <w:szCs w:val="28"/>
        </w:rPr>
        <w:t xml:space="preserve">   </w:t>
      </w:r>
      <w:r>
        <w:rPr>
          <w:rFonts w:hint="eastAsia"/>
          <w:sz w:val="28"/>
          <w:szCs w:val="28"/>
        </w:rPr>
        <w:t xml:space="preserve">  </w:t>
      </w:r>
    </w:p>
    <w:p>
      <w:pPr>
        <w:rPr>
          <w:rFonts w:hint="eastAsia"/>
          <w:sz w:val="28"/>
          <w:szCs w:val="28"/>
        </w:rPr>
      </w:pPr>
    </w:p>
    <w:p>
      <w:pPr>
        <w:rPr>
          <w:rFonts w:hint="eastAsia" w:ascii="宋体" w:hAnsi="宋体" w:cs="宋体"/>
          <w:b/>
          <w:color w:val="333333"/>
          <w:kern w:val="0"/>
          <w:sz w:val="28"/>
          <w:szCs w:val="28"/>
        </w:rPr>
      </w:pPr>
      <w:r>
        <w:rPr>
          <w:rFonts w:hint="eastAsia"/>
          <w:b/>
          <w:sz w:val="28"/>
          <w:szCs w:val="28"/>
        </w:rPr>
        <w:t>第二部分  考查内容（或知识点）</w:t>
      </w:r>
    </w:p>
    <w:p>
      <w:pPr>
        <w:rPr>
          <w:rFonts w:hint="eastAsia" w:ascii="宋体" w:hAnsi="宋体" w:cs="宋体"/>
          <w:color w:val="333333"/>
          <w:kern w:val="0"/>
          <w:sz w:val="28"/>
          <w:szCs w:val="28"/>
        </w:rPr>
      </w:pPr>
      <w:r>
        <w:rPr>
          <w:rFonts w:hint="eastAsia" w:ascii="宋体" w:hAnsi="宋体" w:cs="宋体"/>
          <w:color w:val="333333"/>
          <w:kern w:val="0"/>
          <w:sz w:val="28"/>
          <w:szCs w:val="28"/>
        </w:rPr>
        <w:t>1 多项式</w:t>
      </w:r>
    </w:p>
    <w:p>
      <w:pPr>
        <w:ind w:firstLine="420" w:firstLineChars="150"/>
        <w:rPr>
          <w:rFonts w:hint="eastAsia" w:ascii="宋体" w:hAnsi="宋体" w:cs="宋体"/>
          <w:color w:val="333333"/>
          <w:kern w:val="0"/>
          <w:sz w:val="28"/>
          <w:szCs w:val="28"/>
        </w:rPr>
      </w:pPr>
      <w:r>
        <w:rPr>
          <w:rFonts w:hint="eastAsia" w:ascii="宋体" w:hAnsi="宋体" w:cs="宋体"/>
          <w:color w:val="333333"/>
          <w:kern w:val="0"/>
          <w:sz w:val="28"/>
          <w:szCs w:val="28"/>
        </w:rPr>
        <w:t>数域，多项式的带余除法及整除，最大公因式与互素多项式，因式分解与不可约多项式，重因式，多项式函数与根，复系数与实系数多项式的因式分解，艾森斯坦判别法及应用，一元多项式根与系数的关系及一元多项式有重根的判别式。</w:t>
      </w:r>
    </w:p>
    <w:p>
      <w:pPr>
        <w:rPr>
          <w:rFonts w:hint="eastAsia"/>
          <w:sz w:val="28"/>
          <w:szCs w:val="28"/>
        </w:rPr>
      </w:pPr>
      <w:r>
        <w:rPr>
          <w:rFonts w:hint="eastAsia"/>
          <w:sz w:val="28"/>
          <w:szCs w:val="28"/>
        </w:rPr>
        <w:t>2 行列式、线性方程组、矩阵</w:t>
      </w:r>
    </w:p>
    <w:p>
      <w:pPr>
        <w:ind w:firstLine="420" w:firstLineChars="150"/>
        <w:rPr>
          <w:rFonts w:hint="eastAsia" w:ascii="宋体" w:hAnsi="宋体" w:cs="宋体"/>
          <w:color w:val="333333"/>
          <w:kern w:val="0"/>
          <w:sz w:val="28"/>
          <w:szCs w:val="28"/>
        </w:rPr>
      </w:pPr>
      <w:r>
        <w:rPr>
          <w:rFonts w:hint="eastAsia" w:ascii="宋体" w:hAnsi="宋体" w:cs="宋体"/>
          <w:color w:val="333333"/>
          <w:kern w:val="0"/>
          <w:sz w:val="28"/>
          <w:szCs w:val="28"/>
        </w:rPr>
        <w:t>排列，行列式的定义及性质，行列式按一行（列）展开，代数余子式的计算，低阶行列式、高阶规律性较强的行列式计算。</w:t>
      </w:r>
    </w:p>
    <w:p>
      <w:pPr>
        <w:ind w:firstLine="420" w:firstLineChars="150"/>
        <w:rPr>
          <w:rFonts w:hint="eastAsia" w:ascii="宋体" w:hAnsi="宋体" w:cs="宋体"/>
          <w:color w:val="333333"/>
          <w:kern w:val="0"/>
          <w:sz w:val="28"/>
          <w:szCs w:val="28"/>
        </w:rPr>
      </w:pPr>
      <w:r>
        <w:rPr>
          <w:rFonts w:hint="eastAsia" w:ascii="宋体" w:hAnsi="宋体" w:cs="宋体"/>
          <w:color w:val="333333"/>
          <w:kern w:val="0"/>
          <w:sz w:val="28"/>
          <w:szCs w:val="28"/>
        </w:rPr>
        <w:t>消元法，n维向量空间，线性相关性，矩阵的秩，线性方程组有解判别定理，线性方程组解的结构。</w:t>
      </w:r>
    </w:p>
    <w:p>
      <w:pPr>
        <w:ind w:firstLine="280" w:firstLineChars="100"/>
        <w:rPr>
          <w:rFonts w:hint="eastAsia" w:ascii="宋体" w:hAnsi="宋体" w:cs="宋体"/>
          <w:color w:val="333333"/>
          <w:kern w:val="0"/>
          <w:sz w:val="28"/>
          <w:szCs w:val="28"/>
        </w:rPr>
      </w:pPr>
      <w:r>
        <w:rPr>
          <w:rFonts w:hint="eastAsia" w:ascii="宋体" w:hAnsi="宋体" w:cs="宋体"/>
          <w:color w:val="333333"/>
          <w:kern w:val="0"/>
          <w:sz w:val="28"/>
          <w:szCs w:val="28"/>
        </w:rPr>
        <w:t>矩阵的运算，矩阵乘积的行列式与秩，矩阵的逆与伴随，矩阵的分块，初等矩阵，分块初等矩阵及应用。</w:t>
      </w:r>
    </w:p>
    <w:p>
      <w:pPr>
        <w:rPr>
          <w:rFonts w:hint="eastAsia" w:ascii="宋体" w:hAnsi="宋体" w:cs="宋体"/>
          <w:color w:val="333333"/>
          <w:kern w:val="0"/>
          <w:sz w:val="28"/>
          <w:szCs w:val="28"/>
        </w:rPr>
      </w:pPr>
      <w:r>
        <w:rPr>
          <w:rFonts w:hint="eastAsia" w:ascii="宋体" w:hAnsi="宋体" w:cs="宋体"/>
          <w:color w:val="333333"/>
          <w:kern w:val="0"/>
          <w:sz w:val="28"/>
          <w:szCs w:val="28"/>
        </w:rPr>
        <w:t>3线性空间和线性变换</w:t>
      </w:r>
    </w:p>
    <w:p>
      <w:pPr>
        <w:ind w:firstLine="560" w:firstLineChars="200"/>
        <w:rPr>
          <w:rFonts w:hint="eastAsia" w:ascii="宋体" w:hAnsi="宋体" w:cs="宋体"/>
          <w:color w:val="333333"/>
          <w:kern w:val="0"/>
          <w:sz w:val="28"/>
          <w:szCs w:val="28"/>
        </w:rPr>
      </w:pPr>
      <w:r>
        <w:rPr>
          <w:rFonts w:hint="eastAsia" w:ascii="宋体" w:hAnsi="宋体" w:cs="宋体"/>
          <w:color w:val="333333"/>
          <w:kern w:val="0"/>
          <w:sz w:val="28"/>
          <w:szCs w:val="28"/>
        </w:rPr>
        <w:t>线性空间、子空间的定义与判定，维数、基与坐标，基变换与坐标变换，子空间的交与和，子空间的直和，线性空间的同构。</w:t>
      </w:r>
    </w:p>
    <w:p>
      <w:pPr>
        <w:ind w:firstLine="435"/>
        <w:rPr>
          <w:rFonts w:hint="eastAsia" w:ascii="宋体" w:hAnsi="宋体" w:cs="宋体"/>
          <w:color w:val="333333"/>
          <w:kern w:val="0"/>
          <w:sz w:val="28"/>
          <w:szCs w:val="28"/>
        </w:rPr>
      </w:pPr>
      <w:r>
        <w:rPr>
          <w:rFonts w:hint="eastAsia" w:ascii="宋体" w:hAnsi="宋体" w:cs="宋体"/>
          <w:color w:val="333333"/>
          <w:kern w:val="0"/>
          <w:sz w:val="28"/>
          <w:szCs w:val="28"/>
        </w:rPr>
        <w:t>线性变换的定义及运算，线性变换的矩阵，线性变换</w:t>
      </w:r>
      <w:bookmarkStart w:id="0" w:name="OLE_LINK7"/>
      <w:r>
        <w:rPr>
          <w:rFonts w:hint="eastAsia" w:ascii="宋体" w:hAnsi="宋体" w:cs="宋体"/>
          <w:color w:val="333333"/>
          <w:kern w:val="0"/>
          <w:sz w:val="28"/>
          <w:szCs w:val="28"/>
        </w:rPr>
        <w:t>的特征值、特征向量</w:t>
      </w:r>
      <w:bookmarkEnd w:id="0"/>
      <w:r>
        <w:rPr>
          <w:rFonts w:hint="eastAsia" w:ascii="宋体" w:hAnsi="宋体" w:cs="宋体"/>
          <w:color w:val="333333"/>
          <w:kern w:val="0"/>
          <w:sz w:val="28"/>
          <w:szCs w:val="28"/>
        </w:rPr>
        <w:t>与矩阵的特征值、特征向量，线性变换与矩阵的对角化，线性变换的值域与核、维数定理，不变子空间，极小多项式。</w:t>
      </w:r>
    </w:p>
    <w:p>
      <w:pPr>
        <w:rPr>
          <w:rFonts w:hint="eastAsia" w:ascii="宋体" w:hAnsi="宋体" w:cs="宋体"/>
          <w:color w:val="333333"/>
          <w:kern w:val="0"/>
          <w:sz w:val="28"/>
          <w:szCs w:val="28"/>
        </w:rPr>
      </w:pPr>
      <w:r>
        <w:rPr>
          <w:rFonts w:hint="eastAsia" w:ascii="宋体" w:hAnsi="宋体" w:cs="宋体"/>
          <w:color w:val="333333"/>
          <w:kern w:val="0"/>
          <w:sz w:val="28"/>
          <w:szCs w:val="28"/>
        </w:rPr>
        <w:t>4欧氏空间和二次型</w:t>
      </w:r>
    </w:p>
    <w:p>
      <w:pPr>
        <w:ind w:firstLine="560" w:firstLineChars="200"/>
        <w:rPr>
          <w:rFonts w:hint="eastAsia" w:ascii="宋体" w:hAnsi="宋体" w:cs="宋体"/>
          <w:color w:val="333333"/>
          <w:kern w:val="0"/>
          <w:sz w:val="28"/>
          <w:szCs w:val="28"/>
        </w:rPr>
      </w:pPr>
      <w:r>
        <w:rPr>
          <w:rFonts w:hint="eastAsia" w:ascii="宋体" w:hAnsi="宋体" w:cs="宋体"/>
          <w:color w:val="333333"/>
          <w:kern w:val="0"/>
          <w:sz w:val="28"/>
          <w:szCs w:val="28"/>
        </w:rPr>
        <w:t>欧氏空间的定义、基本性质，向量的内积，标准正交基，正交变换与正交矩阵，子空间的正交与正交补，对称变换与对称矩阵、实对称矩阵的标准形。</w:t>
      </w:r>
    </w:p>
    <w:p>
      <w:pPr>
        <w:ind w:firstLine="560" w:firstLineChars="200"/>
        <w:rPr>
          <w:rFonts w:hint="eastAsia" w:ascii="宋体" w:hAnsi="宋体" w:cs="宋体"/>
          <w:color w:val="333333"/>
          <w:kern w:val="0"/>
          <w:sz w:val="28"/>
          <w:szCs w:val="28"/>
        </w:rPr>
      </w:pPr>
      <w:r>
        <w:rPr>
          <w:rFonts w:hint="eastAsia" w:ascii="宋体" w:hAnsi="宋体" w:cs="宋体"/>
          <w:color w:val="333333"/>
          <w:kern w:val="0"/>
          <w:sz w:val="28"/>
          <w:szCs w:val="28"/>
        </w:rPr>
        <w:t>二次型的矩阵表示，二次型的标准形及标准形的唯一性、</w:t>
      </w:r>
      <w:r>
        <w:rPr>
          <w:rFonts w:ascii="宋体" w:hAnsi="宋体" w:cs="宋体"/>
          <w:color w:val="333333"/>
          <w:kern w:val="0"/>
          <w:sz w:val="28"/>
          <w:szCs w:val="28"/>
        </w:rPr>
        <w:t>惯性定理</w:t>
      </w:r>
      <w:r>
        <w:rPr>
          <w:rFonts w:hint="eastAsia" w:ascii="宋体" w:hAnsi="宋体" w:cs="宋体"/>
          <w:color w:val="333333"/>
          <w:kern w:val="0"/>
          <w:sz w:val="28"/>
          <w:szCs w:val="28"/>
        </w:rPr>
        <w:t>，二次型的等价与矩阵的合同，用非退化线性替换或正交变换化二次形为标准形，</w:t>
      </w:r>
      <w:bookmarkStart w:id="1" w:name="OLE_LINK9"/>
      <w:r>
        <w:rPr>
          <w:rFonts w:hint="eastAsia" w:ascii="宋体" w:hAnsi="宋体" w:cs="宋体"/>
          <w:color w:val="333333"/>
          <w:kern w:val="0"/>
          <w:sz w:val="28"/>
          <w:szCs w:val="28"/>
        </w:rPr>
        <w:t>正定、半正定、负定、半负定</w:t>
      </w:r>
      <w:bookmarkEnd w:id="1"/>
      <w:r>
        <w:rPr>
          <w:rFonts w:hint="eastAsia" w:ascii="宋体" w:hAnsi="宋体" w:cs="宋体"/>
          <w:color w:val="333333"/>
          <w:kern w:val="0"/>
          <w:sz w:val="28"/>
          <w:szCs w:val="28"/>
        </w:rPr>
        <w:t>二次型与正定、半正定、负定、半负定矩阵。</w:t>
      </w:r>
    </w:p>
    <w:p>
      <w:pPr>
        <w:ind w:firstLine="280" w:firstLineChars="100"/>
        <w:rPr>
          <w:rFonts w:hint="eastAsia" w:ascii="宋体" w:hAnsi="宋体" w:cs="宋体"/>
          <w:color w:val="333333"/>
          <w:kern w:val="0"/>
          <w:sz w:val="28"/>
          <w:szCs w:val="28"/>
        </w:rPr>
      </w:pPr>
    </w:p>
    <w:p>
      <w:pPr>
        <w:ind w:firstLine="280" w:firstLineChars="100"/>
        <w:rPr>
          <w:rFonts w:hint="eastAsia" w:ascii="宋体" w:hAnsi="宋体" w:cs="宋体"/>
          <w:color w:val="333333"/>
          <w:kern w:val="0"/>
          <w:sz w:val="28"/>
          <w:szCs w:val="28"/>
        </w:rPr>
      </w:pPr>
    </w:p>
    <w:p>
      <w:pPr>
        <w:ind w:firstLine="280" w:firstLineChars="100"/>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10451"/>
    <w:multiLevelType w:val="multilevel"/>
    <w:tmpl w:val="68710451"/>
    <w:lvl w:ilvl="0" w:tentative="0">
      <w:start w:val="1"/>
      <w:numFmt w:val="decimal"/>
      <w:lvlText w:val="%1）"/>
      <w:lvlJc w:val="left"/>
      <w:pPr>
        <w:tabs>
          <w:tab w:val="left" w:pos="540"/>
        </w:tabs>
        <w:ind w:left="540" w:hanging="360"/>
      </w:pPr>
      <w:rPr>
        <w:rFonts w:hint="default"/>
      </w:rPr>
    </w:lvl>
    <w:lvl w:ilvl="1" w:tentative="0">
      <w:start w:val="1"/>
      <w:numFmt w:val="lowerLetter"/>
      <w:lvlText w:val="%2)"/>
      <w:lvlJc w:val="left"/>
      <w:pPr>
        <w:tabs>
          <w:tab w:val="left" w:pos="1050"/>
        </w:tabs>
        <w:ind w:left="1050" w:hanging="420"/>
      </w:pPr>
    </w:lvl>
    <w:lvl w:ilvl="2" w:tentative="0">
      <w:start w:val="1"/>
      <w:numFmt w:val="lowerRoman"/>
      <w:lvlText w:val="%3."/>
      <w:lvlJc w:val="right"/>
      <w:pPr>
        <w:tabs>
          <w:tab w:val="left" w:pos="1470"/>
        </w:tabs>
        <w:ind w:left="1470" w:hanging="420"/>
      </w:pPr>
    </w:lvl>
    <w:lvl w:ilvl="3" w:tentative="0">
      <w:start w:val="1"/>
      <w:numFmt w:val="decimal"/>
      <w:lvlText w:val="%4."/>
      <w:lvlJc w:val="left"/>
      <w:pPr>
        <w:tabs>
          <w:tab w:val="left" w:pos="1890"/>
        </w:tabs>
        <w:ind w:left="1890" w:hanging="420"/>
      </w:pPr>
    </w:lvl>
    <w:lvl w:ilvl="4" w:tentative="0">
      <w:start w:val="1"/>
      <w:numFmt w:val="lowerLetter"/>
      <w:lvlText w:val="%5)"/>
      <w:lvlJc w:val="left"/>
      <w:pPr>
        <w:tabs>
          <w:tab w:val="left" w:pos="2310"/>
        </w:tabs>
        <w:ind w:left="2310" w:hanging="420"/>
      </w:pPr>
    </w:lvl>
    <w:lvl w:ilvl="5" w:tentative="0">
      <w:start w:val="1"/>
      <w:numFmt w:val="lowerRoman"/>
      <w:lvlText w:val="%6."/>
      <w:lvlJc w:val="right"/>
      <w:pPr>
        <w:tabs>
          <w:tab w:val="left" w:pos="2730"/>
        </w:tabs>
        <w:ind w:left="2730" w:hanging="420"/>
      </w:pPr>
    </w:lvl>
    <w:lvl w:ilvl="6" w:tentative="0">
      <w:start w:val="1"/>
      <w:numFmt w:val="decimal"/>
      <w:lvlText w:val="%7."/>
      <w:lvlJc w:val="left"/>
      <w:pPr>
        <w:tabs>
          <w:tab w:val="left" w:pos="3150"/>
        </w:tabs>
        <w:ind w:left="3150" w:hanging="420"/>
      </w:pPr>
    </w:lvl>
    <w:lvl w:ilvl="7" w:tentative="0">
      <w:start w:val="1"/>
      <w:numFmt w:val="lowerLetter"/>
      <w:lvlText w:val="%8)"/>
      <w:lvlJc w:val="left"/>
      <w:pPr>
        <w:tabs>
          <w:tab w:val="left" w:pos="3570"/>
        </w:tabs>
        <w:ind w:left="3570" w:hanging="420"/>
      </w:pPr>
    </w:lvl>
    <w:lvl w:ilvl="8" w:tentative="0">
      <w:start w:val="1"/>
      <w:numFmt w:val="lowerRoman"/>
      <w:lvlText w:val="%9."/>
      <w:lvlJc w:val="right"/>
      <w:pPr>
        <w:tabs>
          <w:tab w:val="left"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26B"/>
    <w:rsid w:val="0045320F"/>
    <w:rsid w:val="007A2F6A"/>
    <w:rsid w:val="00A62B58"/>
    <w:rsid w:val="00BC0CB2"/>
    <w:rsid w:val="00C709FE"/>
    <w:rsid w:val="00CD4A37"/>
    <w:rsid w:val="00D5709E"/>
    <w:rsid w:val="00DB1FCF"/>
    <w:rsid w:val="00DB326B"/>
    <w:rsid w:val="00F14F9C"/>
    <w:rsid w:val="00FA037D"/>
    <w:rsid w:val="0EBC342A"/>
    <w:rsid w:val="625C48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trPr>
      <w:wBefore w:w="0" w:type="dxa"/>
    </w:tr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character" w:customStyle="1" w:styleId="9">
    <w:name w:val=" Char Char1"/>
    <w:link w:val="3"/>
    <w:uiPriority w:val="0"/>
    <w:rPr>
      <w:kern w:val="2"/>
      <w:sz w:val="18"/>
      <w:szCs w:val="18"/>
    </w:rPr>
  </w:style>
  <w:style w:type="character" w:customStyle="1" w:styleId="10">
    <w:name w:val=" Char Char"/>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196</Words>
  <Characters>1123</Characters>
  <Lines>9</Lines>
  <Paragraphs>2</Paragraphs>
  <TotalTime>0</TotalTime>
  <ScaleCrop>false</ScaleCrop>
  <LinksUpToDate>false</LinksUpToDate>
  <CharactersWithSpaces>1317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2015-09-21T01:48:00Z</dcterms:created>
  <dc:creator>微软用户</dc:creator>
  <cp:lastModifiedBy>Administrator</cp:lastModifiedBy>
  <dcterms:modified xsi:type="dcterms:W3CDTF">2021-10-09T06:24:52Z</dcterms:modified>
  <dc:title>贵州师范大学全国硕士研究生入学考试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