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</w:rPr>
        <w:t>测量学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《测量学》课程应考范围包括：测量基本知识、高程、角度和距离测量方法、测量误差基本知识、控制测量与地形图测量、施工测量等内容。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测量学考试的目标在于考查考生对测量学的基本概念、基本理论的掌握，分析和解决测绘工程基本问题的能力。考生应能准确地把握测量学的定义、研究内容和方法；正确理解测量学的基本概念和基本规律；应用测量学的基本理论知识分析和处理实际问题；熟练掌握阅读和使用地形图的基本技能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试卷主要分为三大部分，即：基本概念题约30％：基本理论分析题约40％；应用判断题约30％。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</w:t>
      </w:r>
      <w:r>
        <w:rPr>
          <w:rFonts w:hint="eastAsia" w:ascii="宋体" w:hAnsi="宋体" w:cs="宋体"/>
          <w:kern w:val="0"/>
          <w:sz w:val="24"/>
        </w:rPr>
        <w:t>测量学概述</w:t>
      </w:r>
    </w:p>
    <w:p>
      <w:pPr>
        <w:spacing w:line="360" w:lineRule="auto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测绘学的内涵；地面点的确定和坐标系；测量工作的基本原则；水平面的曲率对测量的影响。</w:t>
      </w:r>
    </w:p>
    <w:p>
      <w:pPr>
        <w:widowControl/>
        <w:adjustRightInd w:val="0"/>
        <w:snapToGrid w:val="0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</w:t>
      </w:r>
      <w:r>
        <w:rPr>
          <w:rFonts w:hint="eastAsia" w:ascii="宋体" w:hAnsi="宋体"/>
          <w:sz w:val="24"/>
        </w:rPr>
        <w:t>水准测量与水准仪</w:t>
      </w:r>
    </w:p>
    <w:p>
      <w:pPr>
        <w:spacing w:line="360" w:lineRule="auto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水准测量的原理与方法；水准测量的误差分析及减弱措施。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．</w:t>
      </w:r>
      <w:r>
        <w:rPr>
          <w:rFonts w:hint="eastAsia" w:ascii="宋体" w:hAnsi="宋体" w:cs="宋体"/>
          <w:kern w:val="0"/>
          <w:sz w:val="24"/>
        </w:rPr>
        <w:t>角度测量和距离测量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水平角、竖直角观测的原理与方法；水平角观测的误差分析；</w:t>
      </w:r>
      <w:r>
        <w:rPr>
          <w:rFonts w:hint="eastAsia"/>
          <w:sz w:val="24"/>
        </w:rPr>
        <w:t>光电测距原理、精度分析及成果整理。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4．</w:t>
      </w:r>
      <w:r>
        <w:rPr>
          <w:rFonts w:hint="eastAsia" w:ascii="宋体" w:hAnsi="宋体"/>
          <w:sz w:val="24"/>
        </w:rPr>
        <w:t>测量误差基本知识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测量误差的概念；评定精度的标准；观测值的精度评定；误差传播定律及应用；加权平均值及其中误差。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5．</w:t>
      </w:r>
      <w:r>
        <w:rPr>
          <w:rFonts w:hint="eastAsia" w:ascii="宋体" w:hAnsi="宋体" w:cs="宋体"/>
          <w:kern w:val="0"/>
          <w:sz w:val="24"/>
        </w:rPr>
        <w:t>控制测量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控制测量概述；平面控制网的定位和定向；导线测量和计算；三、四等水准测量；全球定位系统。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6．</w:t>
      </w:r>
      <w:r>
        <w:rPr>
          <w:rFonts w:hint="eastAsia" w:ascii="宋体" w:hAnsi="宋体" w:cs="宋体"/>
          <w:kern w:val="0"/>
          <w:sz w:val="24"/>
        </w:rPr>
        <w:t>地形测量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地形图基本知识；图根控制测量；地形图的测绘；数字地形测量及成图。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7．</w:t>
      </w:r>
      <w:r>
        <w:rPr>
          <w:rFonts w:hint="eastAsia" w:ascii="宋体" w:hAnsi="宋体" w:cs="宋体"/>
          <w:kern w:val="0"/>
          <w:sz w:val="24"/>
        </w:rPr>
        <w:t>建筑工程测量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施工测量的基本工作；建筑工程变形观测。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试卷主要分为三大部分，即：基本概念题约30％：基本理论分析题约40％；应用判断题约30％。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</w:t>
      </w:r>
      <w:r>
        <w:rPr>
          <w:rFonts w:hint="eastAsia" w:ascii="宋体" w:hAnsi="宋体" w:cs="宋体"/>
          <w:kern w:val="0"/>
          <w:sz w:val="24"/>
        </w:rPr>
        <w:t>测量学概述</w:t>
      </w:r>
    </w:p>
    <w:p>
      <w:pPr>
        <w:spacing w:line="360" w:lineRule="auto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测绘学的内涵；地面点的确定和坐标系；测量工作的基本原则；水平面的曲率对测量的影响。</w:t>
      </w:r>
    </w:p>
    <w:p>
      <w:pPr>
        <w:widowControl/>
        <w:adjustRightInd w:val="0"/>
        <w:snapToGrid w:val="0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</w:t>
      </w:r>
      <w:r>
        <w:rPr>
          <w:rFonts w:hint="eastAsia" w:ascii="宋体" w:hAnsi="宋体"/>
          <w:sz w:val="24"/>
        </w:rPr>
        <w:t>水准测量与水准仪</w:t>
      </w:r>
    </w:p>
    <w:p>
      <w:pPr>
        <w:spacing w:line="360" w:lineRule="auto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水准测量的原理与方法；水准测量的误差分析及减弱措施。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．</w:t>
      </w:r>
      <w:r>
        <w:rPr>
          <w:rFonts w:hint="eastAsia" w:ascii="宋体" w:hAnsi="宋体" w:cs="宋体"/>
          <w:kern w:val="0"/>
          <w:sz w:val="24"/>
        </w:rPr>
        <w:t>角度测量和距离测量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水平角、竖直角观测的原理与方法；水平角观测的误差分析；</w:t>
      </w:r>
      <w:r>
        <w:rPr>
          <w:rFonts w:hint="eastAsia"/>
          <w:sz w:val="24"/>
        </w:rPr>
        <w:t>光电测距原理、精度分析及成果整理。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4．</w:t>
      </w:r>
      <w:r>
        <w:rPr>
          <w:rFonts w:hint="eastAsia" w:ascii="宋体" w:hAnsi="宋体"/>
          <w:sz w:val="24"/>
        </w:rPr>
        <w:t>测量误差基本知识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测量误差的概念；评定精度的标准；观测值的精度评定；误差传播定律及应用；加权平均值及其中误差。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5．</w:t>
      </w:r>
      <w:r>
        <w:rPr>
          <w:rFonts w:hint="eastAsia" w:ascii="宋体" w:hAnsi="宋体" w:cs="宋体"/>
          <w:kern w:val="0"/>
          <w:sz w:val="24"/>
        </w:rPr>
        <w:t>控制测量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控制测量概述；平面控制网的定位和定向；导线测量和计算；三、四等水准测量；全球定位系统。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6．</w:t>
      </w:r>
      <w:r>
        <w:rPr>
          <w:rFonts w:hint="eastAsia" w:ascii="宋体" w:hAnsi="宋体" w:cs="宋体"/>
          <w:kern w:val="0"/>
          <w:sz w:val="24"/>
        </w:rPr>
        <w:t>地形测量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地形图基本知识；图根控制测量；地形图的测绘；数字地形测量及成图。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7．</w:t>
      </w:r>
      <w:r>
        <w:rPr>
          <w:rFonts w:hint="eastAsia" w:ascii="宋体" w:hAnsi="宋体" w:cs="宋体"/>
          <w:kern w:val="0"/>
          <w:sz w:val="24"/>
        </w:rPr>
        <w:t>建筑工程测量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施工测量的基本工作；建筑工程变形观测。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400" w:lineRule="exact"/>
        <w:jc w:val="left"/>
        <w:rPr>
          <w:rFonts w:ascii="宋体" w:hAnsi="宋体"/>
          <w:sz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A"/>
    <w:rsid w:val="00003303"/>
    <w:rsid w:val="000306D2"/>
    <w:rsid w:val="00032418"/>
    <w:rsid w:val="000638C5"/>
    <w:rsid w:val="00073E11"/>
    <w:rsid w:val="00086FF1"/>
    <w:rsid w:val="00092D8A"/>
    <w:rsid w:val="000B4FC7"/>
    <w:rsid w:val="000C11D0"/>
    <w:rsid w:val="001101CB"/>
    <w:rsid w:val="001464DB"/>
    <w:rsid w:val="00190124"/>
    <w:rsid w:val="001A54C5"/>
    <w:rsid w:val="001B3FDE"/>
    <w:rsid w:val="001C4763"/>
    <w:rsid w:val="001D0617"/>
    <w:rsid w:val="001D3FF1"/>
    <w:rsid w:val="001D4298"/>
    <w:rsid w:val="001E51F5"/>
    <w:rsid w:val="001F73CC"/>
    <w:rsid w:val="002001D9"/>
    <w:rsid w:val="002174A7"/>
    <w:rsid w:val="00251295"/>
    <w:rsid w:val="00254F05"/>
    <w:rsid w:val="0027039D"/>
    <w:rsid w:val="0028158D"/>
    <w:rsid w:val="00290CB8"/>
    <w:rsid w:val="002B2A16"/>
    <w:rsid w:val="00306B8C"/>
    <w:rsid w:val="003216BC"/>
    <w:rsid w:val="00344170"/>
    <w:rsid w:val="00355D20"/>
    <w:rsid w:val="0036002B"/>
    <w:rsid w:val="0037715E"/>
    <w:rsid w:val="00390AE6"/>
    <w:rsid w:val="0039113A"/>
    <w:rsid w:val="003A76F9"/>
    <w:rsid w:val="003D1C21"/>
    <w:rsid w:val="003E5306"/>
    <w:rsid w:val="003F69E3"/>
    <w:rsid w:val="004023B6"/>
    <w:rsid w:val="00404B4C"/>
    <w:rsid w:val="00430B3F"/>
    <w:rsid w:val="004703DE"/>
    <w:rsid w:val="004768E1"/>
    <w:rsid w:val="004E59B8"/>
    <w:rsid w:val="004F648F"/>
    <w:rsid w:val="005009EF"/>
    <w:rsid w:val="00504930"/>
    <w:rsid w:val="00510E06"/>
    <w:rsid w:val="00541162"/>
    <w:rsid w:val="00547B4C"/>
    <w:rsid w:val="005503A2"/>
    <w:rsid w:val="00586CD1"/>
    <w:rsid w:val="005B0136"/>
    <w:rsid w:val="005B2955"/>
    <w:rsid w:val="005D5D88"/>
    <w:rsid w:val="005E604F"/>
    <w:rsid w:val="005E7FF5"/>
    <w:rsid w:val="005F3158"/>
    <w:rsid w:val="005F7F14"/>
    <w:rsid w:val="00605635"/>
    <w:rsid w:val="0063715D"/>
    <w:rsid w:val="006541D8"/>
    <w:rsid w:val="00685F54"/>
    <w:rsid w:val="00691C76"/>
    <w:rsid w:val="006D46B7"/>
    <w:rsid w:val="006E700B"/>
    <w:rsid w:val="006E7021"/>
    <w:rsid w:val="007074F7"/>
    <w:rsid w:val="00717871"/>
    <w:rsid w:val="0077691F"/>
    <w:rsid w:val="007871D6"/>
    <w:rsid w:val="00787CDB"/>
    <w:rsid w:val="007A7E82"/>
    <w:rsid w:val="007D1422"/>
    <w:rsid w:val="007F141D"/>
    <w:rsid w:val="007F7502"/>
    <w:rsid w:val="00803C3F"/>
    <w:rsid w:val="00813687"/>
    <w:rsid w:val="00890AC4"/>
    <w:rsid w:val="00896E65"/>
    <w:rsid w:val="008E46B4"/>
    <w:rsid w:val="008F423E"/>
    <w:rsid w:val="009079B4"/>
    <w:rsid w:val="009240CA"/>
    <w:rsid w:val="00933C5D"/>
    <w:rsid w:val="00937FA1"/>
    <w:rsid w:val="0094706E"/>
    <w:rsid w:val="00970377"/>
    <w:rsid w:val="0099702F"/>
    <w:rsid w:val="009D0F94"/>
    <w:rsid w:val="009D4130"/>
    <w:rsid w:val="009E548D"/>
    <w:rsid w:val="00A21FF0"/>
    <w:rsid w:val="00A5564A"/>
    <w:rsid w:val="00AC724D"/>
    <w:rsid w:val="00B04DED"/>
    <w:rsid w:val="00B133AC"/>
    <w:rsid w:val="00B1781C"/>
    <w:rsid w:val="00B777E1"/>
    <w:rsid w:val="00B95137"/>
    <w:rsid w:val="00BA69C3"/>
    <w:rsid w:val="00BB11AE"/>
    <w:rsid w:val="00BB2BE0"/>
    <w:rsid w:val="00BE28A5"/>
    <w:rsid w:val="00BF7A54"/>
    <w:rsid w:val="00C1015F"/>
    <w:rsid w:val="00C302FC"/>
    <w:rsid w:val="00C76CB8"/>
    <w:rsid w:val="00CB609E"/>
    <w:rsid w:val="00CC1235"/>
    <w:rsid w:val="00CF3D55"/>
    <w:rsid w:val="00D16285"/>
    <w:rsid w:val="00D4131B"/>
    <w:rsid w:val="00D80B17"/>
    <w:rsid w:val="00DA5ADA"/>
    <w:rsid w:val="00DC42EA"/>
    <w:rsid w:val="00DF4BCD"/>
    <w:rsid w:val="00DF59C6"/>
    <w:rsid w:val="00E13FDC"/>
    <w:rsid w:val="00E21ECB"/>
    <w:rsid w:val="00E24E4E"/>
    <w:rsid w:val="00E31C97"/>
    <w:rsid w:val="00E3242F"/>
    <w:rsid w:val="00E40748"/>
    <w:rsid w:val="00E51055"/>
    <w:rsid w:val="00E54912"/>
    <w:rsid w:val="00E60093"/>
    <w:rsid w:val="00E648CE"/>
    <w:rsid w:val="00E673BC"/>
    <w:rsid w:val="00E8227C"/>
    <w:rsid w:val="00E9168E"/>
    <w:rsid w:val="00F23CDF"/>
    <w:rsid w:val="00F96A97"/>
    <w:rsid w:val="00FA2875"/>
    <w:rsid w:val="00FD3943"/>
    <w:rsid w:val="2356118A"/>
    <w:rsid w:val="2AC22F51"/>
    <w:rsid w:val="4D376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iPriority w:val="0"/>
    <w:pPr>
      <w:ind w:left="100" w:leftChars="2500"/>
    </w:p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paragraph" w:customStyle="1" w:styleId="11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2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15">
    <w:name w:val="批注框文本 字符"/>
    <w:uiPriority w:val="0"/>
    <w:rPr>
      <w:kern w:val="2"/>
      <w:sz w:val="18"/>
      <w:szCs w:val="18"/>
    </w:rPr>
  </w:style>
  <w:style w:type="character" w:customStyle="1" w:styleId="16">
    <w:name w:val="页眉 Char"/>
    <w:link w:val="5"/>
    <w:uiPriority w:val="0"/>
    <w:rPr>
      <w:kern w:val="2"/>
      <w:sz w:val="18"/>
      <w:szCs w:val="18"/>
    </w:rPr>
  </w:style>
  <w:style w:type="character" w:customStyle="1" w:styleId="17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批注框文本 Char"/>
    <w:link w:val="3"/>
    <w:uiPriority w:val="0"/>
    <w:rPr>
      <w:kern w:val="2"/>
      <w:sz w:val="18"/>
      <w:szCs w:val="18"/>
    </w:rPr>
  </w:style>
  <w:style w:type="character" w:customStyle="1" w:styleId="19">
    <w:name w:val="日期 Char"/>
    <w:link w:val="2"/>
    <w:uiPriority w:val="0"/>
    <w:rPr>
      <w:kern w:val="2"/>
      <w:sz w:val="21"/>
      <w:szCs w:val="24"/>
    </w:rPr>
  </w:style>
  <w:style w:type="character" w:customStyle="1" w:styleId="20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164</Words>
  <Characters>939</Characters>
  <Lines>7</Lines>
  <Paragraphs>2</Paragraphs>
  <TotalTime>0</TotalTime>
  <ScaleCrop>false</ScaleCrop>
  <LinksUpToDate>false</LinksUpToDate>
  <CharactersWithSpaces>1101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2019-09-15T01:04:00Z</dcterms:created>
  <dc:creator>微软中国</dc:creator>
  <cp:lastModifiedBy>Administrator</cp:lastModifiedBy>
  <cp:lastPrinted>2019-09-01T01:35:00Z</cp:lastPrinted>
  <dcterms:modified xsi:type="dcterms:W3CDTF">2021-10-09T05:33:25Z</dcterms:modified>
  <dc:title>关于编制2017年硕士研究生招生简章和专业目录的通知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