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黑体" w:eastAsia="黑体"/>
          <w:sz w:val="28"/>
          <w:szCs w:val="30"/>
        </w:rPr>
        <w:t>考试科目名称：财务管理学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一、考试大纲援引教材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《财务管理》   第</w:t>
      </w:r>
      <w:r>
        <w:rPr>
          <w:rFonts w:hint="eastAsia"/>
          <w:lang w:eastAsia="zh-CN"/>
        </w:rPr>
        <w:t>三版</w:t>
      </w:r>
      <w:r>
        <w:rPr>
          <w:rFonts w:hint="eastAsia"/>
        </w:rPr>
        <w:t xml:space="preserve"> 姚海鑫 王德武 韩晓舟 清华大学出版社，201</w:t>
      </w:r>
      <w:r>
        <w:rPr>
          <w:rFonts w:hint="default"/>
          <w:lang w:val="en-US"/>
        </w:rPr>
        <w:t>9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 xml:space="preserve"> 要求学生全面系统地掌握财务管理的基本概念和基本原理，并能够对基本原理进行灵活运用，具有较强的分析问题、解决问题的能力。</w:t>
      </w:r>
    </w:p>
    <w:p>
      <w:pPr>
        <w:spacing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第一章财务管理导论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第一节财务管理概述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第二节企业组织形式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第三节财务管理目标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第四节金融市场及其作用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第五节财务管理环境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第六节财务管理基本价值观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第二章财务报表与分析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第一节资产负债表</w:t>
      </w:r>
    </w:p>
    <w:p>
      <w:pPr>
        <w:pStyle w:val="2"/>
        <w:spacing w:line="340" w:lineRule="exact"/>
        <w:ind w:firstLine="0" w:firstLineChars="0"/>
      </w:pPr>
      <w:r>
        <w:t>第二节利润表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第三节现金流量表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第四节所有者权益变动表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第五节财务报表分析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第三章货币时间价值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第一节货币时间价值概述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第二节年金现值与终值的计算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第四章风险和收益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第一节单项资产的风险与收益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第二节投资组合理论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第三节资本资产定价模型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第五章证券估价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第一节债券估价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第二节股票估价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第六章长期融资概述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第一节企业融资的动机与原则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第二节企业融资的方式与融资渠道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第三节融资模式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第四节资金需要量的预测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第七章长期负债与融资租赁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第一节长期负债融资概述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第二节长期借款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第三节长期债券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第四节融资租赁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第八章普通股与优先股融资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第一节权益融资概述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第二节普通股融资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第三节优先股融资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第九章认股权证与可转换债券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第一节认股权证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第二节可转换债券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第十章资本成本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第一节资本成本的概念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第二节资本成本的计算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第三节边际资本成本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第十一章资本结构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第一节资本结构及其基本问题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第二节资本结构理论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第三节资本结构的影响因素及最佳资本结构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第四节杠杆理论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第十二章股利政策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第一节股利种类与股利发放程序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第二节影响股利政策的因素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第三节股利政策理论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第四节股利政策的类型</w:t>
      </w:r>
      <w:r>
        <w:br w:type="textWrapping"/>
      </w:r>
      <w:r>
        <w:t>第五节股票分割与回购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第六节股利政策实践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第十三章现金流量与资本预算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第一节资本预算决策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第二节投资决策中的现金流量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第三节现金流量的计算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第十四章投资决策的方法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第一节净现值（npv）法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第二节投资回收期法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第三节内部收益率（irr）法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第四节会计平均收益率（aar）法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第五节获利指数（pi）法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第六节资本预算实践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第十五章不确定条件下的投资决策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第一节不同周期项目的投资决策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第二节敏感性分析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第三节盈亏平衡分析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第四节通货膨胀与投资决策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第五节不确定性投资决策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第十六章营运资本与现金管理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第一节营运资本管理概述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第二节营运资本管理策略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第十七章存货与应收账款管理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第一节存货及其成本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第二节存货管理方法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第三节应收账款管理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第十八章短期财务计划与短期融资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第一节短期财务计划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第二节现金预算与短期融资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第十九章公司价值评估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第一节公司价值评估概述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第二节公司价值评估的主要方法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第三节公司价值评估影响因素及应用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第二十章企业并购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第一节企业并购概述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第二节企业并购的估价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第三节企业并购的支付方式选择</w:t>
      </w:r>
    </w:p>
    <w:p>
      <w:pPr>
        <w:pStyle w:val="2"/>
        <w:spacing w:line="340" w:lineRule="exact"/>
        <w:rPr>
          <w:rFonts w:hint="eastAsia"/>
        </w:rPr>
      </w:pPr>
    </w:p>
    <w:p>
      <w:pPr>
        <w:ind w:firstLine="420" w:firstLine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D25"/>
    <w:rsid w:val="003D2641"/>
    <w:rsid w:val="0041503A"/>
    <w:rsid w:val="004A4000"/>
    <w:rsid w:val="005B13D3"/>
    <w:rsid w:val="006D5F3A"/>
    <w:rsid w:val="00A1162F"/>
    <w:rsid w:val="00D054F8"/>
    <w:rsid w:val="00DE146B"/>
    <w:rsid w:val="00E76CC1"/>
    <w:rsid w:val="319C30D2"/>
    <w:rsid w:val="7FDD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2006-07-09T00:58:00Z</dcterms:created>
  <dc:creator>your name</dc:creator>
  <cp:lastModifiedBy>Administrator</cp:lastModifiedBy>
  <cp:lastPrinted>1970-01-01T00:00:00Z</cp:lastPrinted>
  <dcterms:modified xsi:type="dcterms:W3CDTF">2021-10-08T01:19:05Z</dcterms:modified>
  <dc:title>财务管理学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