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 w:ascii="方正书宋简体" w:eastAsia="方正书宋简体"/>
          <w:sz w:val="28"/>
        </w:rPr>
      </w:pPr>
      <w:r>
        <w:rPr>
          <w:rFonts w:hint="eastAsia" w:ascii="方正书宋简体" w:eastAsia="方正书宋简体"/>
          <w:sz w:val="28"/>
        </w:rPr>
        <w:t>考试科目名称：金融市场学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考试大纲援引教材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《金融市场学》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清华大学</w:t>
      </w:r>
      <w:r>
        <w:rPr>
          <w:rFonts w:hint="eastAsia" w:ascii="宋体" w:hAnsi="宋体" w:eastAsia="宋体" w:cs="宋体"/>
          <w:sz w:val="24"/>
          <w:szCs w:val="24"/>
        </w:rPr>
        <w:t xml:space="preserve">出版社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张薇薇</w:t>
      </w:r>
      <w:r>
        <w:rPr>
          <w:rFonts w:hint="eastAsia" w:ascii="宋体" w:hAnsi="宋体" w:eastAsia="宋体" w:cs="宋体"/>
          <w:sz w:val="24"/>
          <w:szCs w:val="24"/>
        </w:rPr>
        <w:t xml:space="preserve"> 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月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考试要求：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要求学生全面系统地掌握货币市场、资本市场、外汇市场和衍生金融市场，掌握投资组合理论和资本资产定价理论。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三、考试内容：</w:t>
      </w:r>
    </w:p>
    <w:p>
      <w:pPr>
        <w:spacing w:before="156" w:beforeLines="50" w:after="156" w:afterLines="50" w:line="340" w:lineRule="exact"/>
        <w:ind w:firstLine="211" w:firstLineChars="100"/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1.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Cs w:val="21"/>
        </w:rPr>
        <w:t>货币市场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 w:ascii="宋体" w:hAnsi="宋体"/>
          <w:bCs/>
          <w:szCs w:val="21"/>
        </w:rPr>
        <w:t>同业拆借市场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 w:ascii="宋体" w:hAnsi="宋体"/>
          <w:bCs/>
          <w:szCs w:val="21"/>
        </w:rPr>
        <w:t>回购市场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 w:ascii="宋体" w:hAnsi="宋体"/>
          <w:bCs/>
          <w:szCs w:val="21"/>
        </w:rPr>
        <w:t>商业票据市场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 w:ascii="宋体" w:hAnsi="宋体"/>
          <w:bCs/>
          <w:szCs w:val="21"/>
        </w:rPr>
        <w:t>银行承兑汇票市场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 w:ascii="宋体" w:hAnsi="宋体"/>
          <w:bCs/>
          <w:szCs w:val="21"/>
        </w:rPr>
        <w:t>短期政府债券市场</w:t>
      </w:r>
    </w:p>
    <w:p>
      <w:pPr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 w:ascii="宋体" w:hAnsi="宋体"/>
          <w:bCs/>
          <w:szCs w:val="21"/>
        </w:rPr>
        <w:t>货币市场基金</w:t>
      </w:r>
    </w:p>
    <w:p>
      <w:pPr>
        <w:spacing w:line="340" w:lineRule="exact"/>
        <w:ind w:firstLine="211" w:firstLineChars="100"/>
        <w:rPr>
          <w:rFonts w:hint="eastAsia"/>
          <w:b/>
          <w:bCs/>
        </w:rPr>
      </w:pPr>
      <w:r>
        <w:rPr>
          <w:rFonts w:hint="eastAsia" w:ascii="宋体" w:hAnsi="宋体"/>
          <w:b/>
          <w:bCs/>
          <w:szCs w:val="21"/>
        </w:rPr>
        <w:t>2.</w:t>
      </w:r>
      <w:r>
        <w:rPr>
          <w:rFonts w:ascii="宋体" w:hAnsi="宋体"/>
          <w:b/>
          <w:bCs/>
          <w:color w:val="000000"/>
        </w:rPr>
        <w:t xml:space="preserve"> </w:t>
      </w:r>
      <w:r>
        <w:rPr>
          <w:rFonts w:hint="eastAsia" w:ascii="宋体" w:hAnsi="宋体"/>
          <w:b/>
          <w:bCs/>
          <w:szCs w:val="21"/>
        </w:rPr>
        <w:t>资本市场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bCs/>
          <w:szCs w:val="21"/>
        </w:rPr>
      </w:pPr>
      <w:r>
        <w:rPr>
          <w:rFonts w:hint="default" w:ascii="宋体" w:hAnsi="宋体"/>
          <w:bCs/>
          <w:szCs w:val="21"/>
        </w:rPr>
        <w:t>股票市场</w:t>
      </w:r>
    </w:p>
    <w:p>
      <w:pPr>
        <w:numPr>
          <w:ilvl w:val="0"/>
          <w:numId w:val="1"/>
        </w:numPr>
        <w:spacing w:line="340" w:lineRule="exact"/>
        <w:rPr>
          <w:rFonts w:hint="default" w:ascii="宋体" w:hAnsi="宋体"/>
          <w:bCs/>
          <w:szCs w:val="21"/>
        </w:rPr>
      </w:pPr>
      <w:r>
        <w:rPr>
          <w:rFonts w:hint="default" w:ascii="宋体" w:hAnsi="宋体"/>
          <w:bCs/>
          <w:szCs w:val="21"/>
        </w:rPr>
        <w:t>债券市场 </w:t>
      </w:r>
    </w:p>
    <w:p>
      <w:pPr>
        <w:numPr>
          <w:ilvl w:val="0"/>
          <w:numId w:val="1"/>
        </w:numPr>
        <w:spacing w:line="340" w:lineRule="exact"/>
        <w:rPr>
          <w:rFonts w:hint="default" w:ascii="宋体" w:hAnsi="宋体"/>
          <w:bCs/>
          <w:szCs w:val="21"/>
        </w:rPr>
      </w:pPr>
      <w:r>
        <w:rPr>
          <w:rFonts w:hint="default" w:ascii="宋体" w:hAnsi="宋体"/>
          <w:bCs/>
          <w:szCs w:val="21"/>
        </w:rPr>
        <w:t>投资基金市场</w:t>
      </w:r>
    </w:p>
    <w:p>
      <w:pPr>
        <w:spacing w:before="156" w:beforeLines="50" w:after="156" w:afterLines="50" w:line="340" w:lineRule="exact"/>
        <w:ind w:firstLine="211" w:firstLineChars="1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3.</w:t>
      </w:r>
      <w:r>
        <w:rPr>
          <w:rFonts w:hint="eastAsia" w:ascii="宋体" w:hAnsi="宋体"/>
          <w:b/>
          <w:bCs/>
          <w:color w:val="000000"/>
        </w:rPr>
        <w:t xml:space="preserve"> </w:t>
      </w:r>
      <w:r>
        <w:rPr>
          <w:rFonts w:hint="eastAsia" w:ascii="宋体" w:hAnsi="宋体"/>
          <w:b/>
          <w:bCs/>
          <w:szCs w:val="21"/>
        </w:rPr>
        <w:t>外汇市场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bCs/>
          <w:szCs w:val="21"/>
        </w:rPr>
      </w:pPr>
      <w:r>
        <w:rPr>
          <w:rFonts w:hint="default" w:ascii="宋体" w:hAnsi="宋体"/>
          <w:bCs/>
          <w:szCs w:val="21"/>
        </w:rPr>
        <w:t>外汇市场概述</w:t>
      </w:r>
    </w:p>
    <w:p>
      <w:pPr>
        <w:numPr>
          <w:ilvl w:val="0"/>
          <w:numId w:val="1"/>
        </w:numPr>
        <w:spacing w:line="340" w:lineRule="exact"/>
        <w:rPr>
          <w:rFonts w:hint="default" w:ascii="宋体" w:hAnsi="宋体"/>
          <w:bCs/>
          <w:szCs w:val="21"/>
        </w:rPr>
      </w:pPr>
      <w:r>
        <w:rPr>
          <w:rFonts w:hint="default" w:ascii="宋体" w:hAnsi="宋体"/>
          <w:bCs/>
          <w:szCs w:val="21"/>
        </w:rPr>
        <w:t>外汇市场的构成</w:t>
      </w:r>
    </w:p>
    <w:p>
      <w:pPr>
        <w:numPr>
          <w:ilvl w:val="0"/>
          <w:numId w:val="1"/>
        </w:numPr>
        <w:spacing w:line="340" w:lineRule="exact"/>
        <w:rPr>
          <w:rFonts w:hint="default" w:ascii="宋体" w:hAnsi="宋体"/>
          <w:bCs/>
          <w:szCs w:val="21"/>
        </w:rPr>
      </w:pPr>
      <w:r>
        <w:rPr>
          <w:rFonts w:hint="default" w:ascii="宋体" w:hAnsi="宋体"/>
          <w:bCs/>
          <w:szCs w:val="21"/>
        </w:rPr>
        <w:t>外汇市场的汇率决定理论</w:t>
      </w:r>
    </w:p>
    <w:p>
      <w:pPr>
        <w:numPr>
          <w:ilvl w:val="0"/>
          <w:numId w:val="1"/>
        </w:numPr>
        <w:spacing w:line="340" w:lineRule="exact"/>
        <w:rPr>
          <w:rFonts w:hint="default" w:ascii="宋体" w:hAnsi="宋体"/>
          <w:bCs/>
          <w:szCs w:val="21"/>
        </w:rPr>
      </w:pPr>
      <w:r>
        <w:rPr>
          <w:rFonts w:hint="default" w:ascii="宋体" w:hAnsi="宋体"/>
          <w:bCs/>
          <w:szCs w:val="21"/>
        </w:rPr>
        <w:t>外汇市场的交易方式</w:t>
      </w:r>
    </w:p>
    <w:p>
      <w:pPr>
        <w:spacing w:before="156" w:beforeLines="50" w:after="156" w:afterLines="50" w:line="340" w:lineRule="exact"/>
        <w:ind w:firstLine="211" w:firstLineChars="1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4.</w:t>
      </w:r>
      <w:r>
        <w:rPr>
          <w:rFonts w:hint="eastAsia" w:ascii="宋体" w:hAnsi="宋体"/>
          <w:b/>
          <w:bCs/>
          <w:color w:val="000000"/>
        </w:rPr>
        <w:t xml:space="preserve"> </w:t>
      </w:r>
      <w:r>
        <w:rPr>
          <w:rFonts w:hint="eastAsia" w:ascii="宋体" w:hAnsi="宋体"/>
          <w:b/>
          <w:bCs/>
          <w:szCs w:val="21"/>
        </w:rPr>
        <w:t>衍生金融交易</w:t>
      </w:r>
    </w:p>
    <w:p>
      <w:pPr>
        <w:numPr>
          <w:ilvl w:val="0"/>
          <w:numId w:val="1"/>
        </w:numPr>
        <w:spacing w:line="340" w:lineRule="exact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远期交易</w:t>
      </w:r>
    </w:p>
    <w:p>
      <w:pPr>
        <w:numPr>
          <w:ilvl w:val="0"/>
          <w:numId w:val="1"/>
        </w:numPr>
        <w:spacing w:line="340" w:lineRule="exact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期货交易</w:t>
      </w:r>
    </w:p>
    <w:p>
      <w:pPr>
        <w:numPr>
          <w:ilvl w:val="0"/>
          <w:numId w:val="1"/>
        </w:numPr>
        <w:spacing w:line="340" w:lineRule="exact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期权交易</w:t>
      </w:r>
    </w:p>
    <w:p>
      <w:pPr>
        <w:numPr>
          <w:ilvl w:val="0"/>
          <w:numId w:val="1"/>
        </w:numPr>
        <w:spacing w:line="340" w:lineRule="exact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互换交易</w:t>
      </w:r>
    </w:p>
    <w:p>
      <w:pPr>
        <w:numPr>
          <w:ilvl w:val="0"/>
          <w:numId w:val="2"/>
        </w:numPr>
        <w:spacing w:before="156" w:beforeLines="50" w:after="156" w:afterLines="50" w:line="340" w:lineRule="exact"/>
        <w:ind w:firstLine="211" w:firstLineChars="100"/>
        <w:rPr>
          <w:rFonts w:hint="eastAsia" w:ascii="宋体" w:hAnsi="宋体"/>
          <w:b/>
          <w:bCs w:val="0"/>
          <w:color w:val="000000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lang w:val="en-US" w:eastAsia="zh-CN"/>
        </w:rPr>
        <w:t>债券价值分析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default" w:ascii="宋体" w:hAnsi="宋体"/>
          <w:szCs w:val="21"/>
        </w:rPr>
        <w:t>债券的定价</w:t>
      </w:r>
    </w:p>
    <w:p>
      <w:pPr>
        <w:numPr>
          <w:ilvl w:val="0"/>
          <w:numId w:val="1"/>
        </w:numPr>
        <w:spacing w:line="340" w:lineRule="exact"/>
        <w:rPr>
          <w:rFonts w:hint="default" w:ascii="宋体" w:hAnsi="宋体"/>
          <w:szCs w:val="21"/>
        </w:rPr>
      </w:pPr>
      <w:r>
        <w:rPr>
          <w:rFonts w:hint="default" w:ascii="宋体" w:hAnsi="宋体"/>
          <w:szCs w:val="21"/>
        </w:rPr>
        <w:t>债券价格的影响因素</w:t>
      </w:r>
    </w:p>
    <w:p>
      <w:pPr>
        <w:numPr>
          <w:ilvl w:val="0"/>
          <w:numId w:val="1"/>
        </w:numPr>
        <w:spacing w:line="340" w:lineRule="exact"/>
        <w:rPr>
          <w:rFonts w:hint="default" w:ascii="宋体" w:hAnsi="宋体"/>
          <w:szCs w:val="21"/>
        </w:rPr>
      </w:pPr>
      <w:r>
        <w:rPr>
          <w:rFonts w:hint="default" w:ascii="宋体" w:hAnsi="宋体"/>
          <w:szCs w:val="21"/>
        </w:rPr>
        <w:t>债券定价原理</w:t>
      </w:r>
    </w:p>
    <w:p>
      <w:pPr>
        <w:numPr>
          <w:ilvl w:val="0"/>
          <w:numId w:val="2"/>
        </w:numPr>
        <w:spacing w:before="156" w:beforeLines="50" w:after="156" w:afterLines="50" w:line="340" w:lineRule="exact"/>
        <w:ind w:firstLine="211" w:firstLineChars="100"/>
        <w:rPr>
          <w:rFonts w:hint="default" w:ascii="宋体" w:hAnsi="宋体"/>
          <w:b/>
          <w:bCs w:val="0"/>
          <w:color w:val="000000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lang w:val="en-US" w:eastAsia="zh-CN"/>
        </w:rPr>
        <w:t>股票价值分析</w:t>
      </w:r>
    </w:p>
    <w:p>
      <w:pPr>
        <w:numPr>
          <w:ilvl w:val="0"/>
          <w:numId w:val="1"/>
        </w:numPr>
        <w:spacing w:line="340" w:lineRule="exact"/>
        <w:rPr>
          <w:rFonts w:hint="default" w:ascii="宋体" w:hAnsi="宋体"/>
          <w:szCs w:val="21"/>
        </w:rPr>
      </w:pPr>
      <w:r>
        <w:rPr>
          <w:rFonts w:hint="default" w:ascii="宋体" w:hAnsi="宋体"/>
          <w:szCs w:val="21"/>
        </w:rPr>
        <w:t>股票价格的影响因素</w:t>
      </w:r>
    </w:p>
    <w:p>
      <w:pPr>
        <w:numPr>
          <w:ilvl w:val="0"/>
          <w:numId w:val="1"/>
        </w:numPr>
        <w:spacing w:line="340" w:lineRule="exact"/>
        <w:rPr>
          <w:rFonts w:hint="default" w:ascii="宋体" w:hAnsi="宋体"/>
          <w:szCs w:val="21"/>
        </w:rPr>
      </w:pPr>
      <w:r>
        <w:rPr>
          <w:rFonts w:hint="default" w:ascii="宋体" w:hAnsi="宋体"/>
          <w:szCs w:val="21"/>
        </w:rPr>
        <w:t>股息贴现模型 </w:t>
      </w:r>
    </w:p>
    <w:p>
      <w:pPr>
        <w:numPr>
          <w:ilvl w:val="0"/>
          <w:numId w:val="1"/>
        </w:numPr>
        <w:spacing w:line="340" w:lineRule="exact"/>
        <w:rPr>
          <w:rFonts w:hint="default" w:ascii="宋体" w:hAnsi="宋体"/>
          <w:szCs w:val="21"/>
        </w:rPr>
      </w:pPr>
      <w:r>
        <w:rPr>
          <w:rFonts w:hint="default" w:ascii="宋体" w:hAnsi="宋体"/>
          <w:szCs w:val="21"/>
        </w:rPr>
        <w:t>市盈率模型</w:t>
      </w:r>
    </w:p>
    <w:p>
      <w:pPr>
        <w:numPr>
          <w:ilvl w:val="0"/>
          <w:numId w:val="1"/>
        </w:numPr>
        <w:spacing w:line="340" w:lineRule="exact"/>
        <w:rPr>
          <w:rFonts w:hint="default" w:ascii="宋体" w:hAnsi="宋体"/>
          <w:szCs w:val="21"/>
        </w:rPr>
      </w:pPr>
      <w:r>
        <w:rPr>
          <w:rFonts w:hint="default" w:ascii="宋体" w:hAnsi="宋体"/>
          <w:szCs w:val="21"/>
        </w:rPr>
        <w:t>第四节自由现金流模型</w:t>
      </w:r>
    </w:p>
    <w:p>
      <w:pPr>
        <w:spacing w:before="156" w:beforeLines="50" w:after="156" w:afterLines="50" w:line="340" w:lineRule="exact"/>
        <w:ind w:firstLine="211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7.</w:t>
      </w:r>
      <w:r>
        <w:rPr>
          <w:rFonts w:hint="eastAsia" w:ascii="宋体" w:hAnsi="宋体"/>
          <w:b/>
          <w:bCs/>
          <w:szCs w:val="21"/>
        </w:rPr>
        <w:t>证券投资组合理论</w:t>
      </w:r>
    </w:p>
    <w:p>
      <w:pPr>
        <w:numPr>
          <w:ilvl w:val="0"/>
          <w:numId w:val="1"/>
        </w:numPr>
        <w:spacing w:line="340" w:lineRule="exact"/>
        <w:rPr>
          <w:rFonts w:hint="default" w:ascii="宋体" w:hAnsi="宋体"/>
          <w:szCs w:val="21"/>
        </w:rPr>
      </w:pPr>
      <w:r>
        <w:rPr>
          <w:rFonts w:hint="default" w:ascii="宋体" w:hAnsi="宋体"/>
          <w:szCs w:val="21"/>
        </w:rPr>
        <w:t>金融风险的定义和分类</w:t>
      </w:r>
    </w:p>
    <w:p>
      <w:pPr>
        <w:numPr>
          <w:ilvl w:val="0"/>
          <w:numId w:val="1"/>
        </w:numPr>
        <w:spacing w:line="340" w:lineRule="exact"/>
        <w:rPr>
          <w:rFonts w:hint="default" w:ascii="宋体" w:hAnsi="宋体"/>
          <w:szCs w:val="21"/>
        </w:rPr>
      </w:pPr>
      <w:r>
        <w:rPr>
          <w:rFonts w:hint="default" w:ascii="宋体" w:hAnsi="宋体"/>
          <w:szCs w:val="21"/>
        </w:rPr>
        <w:t>投资收益与风险的衡量</w:t>
      </w:r>
    </w:p>
    <w:p>
      <w:pPr>
        <w:numPr>
          <w:ilvl w:val="0"/>
          <w:numId w:val="1"/>
        </w:numPr>
        <w:spacing w:line="340" w:lineRule="exact"/>
        <w:rPr>
          <w:rFonts w:hint="default" w:ascii="宋体" w:hAnsi="宋体"/>
          <w:szCs w:val="21"/>
        </w:rPr>
      </w:pPr>
      <w:r>
        <w:rPr>
          <w:rFonts w:hint="default" w:ascii="宋体" w:hAnsi="宋体"/>
          <w:szCs w:val="21"/>
        </w:rPr>
        <w:t>证券组合与分散风险</w:t>
      </w:r>
    </w:p>
    <w:p>
      <w:pPr>
        <w:numPr>
          <w:ilvl w:val="0"/>
          <w:numId w:val="1"/>
        </w:numPr>
        <w:spacing w:line="340" w:lineRule="exact"/>
        <w:rPr>
          <w:rFonts w:hint="default" w:ascii="宋体" w:hAnsi="宋体"/>
          <w:szCs w:val="21"/>
        </w:rPr>
      </w:pPr>
      <w:r>
        <w:rPr>
          <w:rFonts w:hint="default" w:ascii="宋体" w:hAnsi="宋体"/>
          <w:szCs w:val="21"/>
        </w:rPr>
        <w:t>风险偏好与无差异曲线</w:t>
      </w:r>
    </w:p>
    <w:p>
      <w:pPr>
        <w:numPr>
          <w:ilvl w:val="0"/>
          <w:numId w:val="1"/>
        </w:numPr>
        <w:spacing w:line="340" w:lineRule="exact"/>
        <w:rPr>
          <w:rFonts w:hint="default" w:ascii="宋体" w:hAnsi="宋体"/>
          <w:szCs w:val="21"/>
        </w:rPr>
      </w:pPr>
      <w:r>
        <w:rPr>
          <w:rFonts w:hint="default" w:ascii="宋体" w:hAnsi="宋体"/>
          <w:szCs w:val="21"/>
        </w:rPr>
        <w:t>有效集与最优投资组合</w:t>
      </w:r>
    </w:p>
    <w:p>
      <w:pPr>
        <w:spacing w:before="156" w:beforeLines="50" w:after="156" w:afterLines="50" w:line="340" w:lineRule="exact"/>
        <w:ind w:firstLine="211" w:firstLineChars="100"/>
        <w:rPr>
          <w:rFonts w:hint="eastAsia" w:ascii="宋体" w:hAnsi="宋体"/>
          <w:b/>
          <w:bCs w:val="0"/>
          <w:szCs w:val="21"/>
        </w:rPr>
      </w:pPr>
      <w:r>
        <w:rPr>
          <w:rFonts w:hint="eastAsia" w:ascii="宋体" w:hAnsi="宋体"/>
          <w:b/>
          <w:bCs w:val="0"/>
          <w:color w:val="000000"/>
          <w:lang w:val="en-US" w:eastAsia="zh-CN"/>
        </w:rPr>
        <w:t>8.</w:t>
      </w:r>
      <w:r>
        <w:rPr>
          <w:rFonts w:hint="eastAsia" w:ascii="宋体" w:hAnsi="宋体"/>
          <w:b/>
          <w:bCs w:val="0"/>
          <w:color w:val="000000"/>
        </w:rPr>
        <w:t xml:space="preserve"> </w:t>
      </w:r>
      <w:r>
        <w:rPr>
          <w:rFonts w:hint="eastAsia" w:ascii="宋体" w:hAnsi="宋体"/>
          <w:b/>
          <w:bCs w:val="0"/>
          <w:szCs w:val="21"/>
        </w:rPr>
        <w:t>资产定价理论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资本资产定价模型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因素模型与套利定价理论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11A3A"/>
    <w:multiLevelType w:val="singleLevel"/>
    <w:tmpl w:val="A8F11A3A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0F3D3C67"/>
    <w:multiLevelType w:val="multilevel"/>
    <w:tmpl w:val="0F3D3C6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B7"/>
    <w:rsid w:val="00064CF0"/>
    <w:rsid w:val="003E6AA4"/>
    <w:rsid w:val="00432397"/>
    <w:rsid w:val="00445CD1"/>
    <w:rsid w:val="007A2E82"/>
    <w:rsid w:val="008A0C44"/>
    <w:rsid w:val="00CA76B7"/>
    <w:rsid w:val="097E2267"/>
    <w:rsid w:val="1C832D6A"/>
    <w:rsid w:val="478F6025"/>
    <w:rsid w:val="4B9D6C34"/>
    <w:rsid w:val="4CBD7C51"/>
    <w:rsid w:val="759D3D80"/>
    <w:rsid w:val="797E28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</Words>
  <Characters>288</Characters>
  <Lines>2</Lines>
  <Paragraphs>1</Paragraphs>
  <TotalTime>9</TotalTime>
  <ScaleCrop>false</ScaleCrop>
  <LinksUpToDate>false</LinksUpToDate>
  <CharactersWithSpaces>337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2011-07-16T11:12:00Z</dcterms:created>
  <dc:creator>微软用户</dc:creator>
  <cp:lastModifiedBy>Administrator</cp:lastModifiedBy>
  <dcterms:modified xsi:type="dcterms:W3CDTF">2021-10-08T01:36:08Z</dcterms:modified>
  <dc:title>硕士研究生入学考试大纲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