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东北大学2022年硕士研究生招生考试</w:t>
      </w:r>
    </w:p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考试大纲</w:t>
      </w:r>
    </w:p>
    <w:p>
      <w:pPr>
        <w:spacing w:before="156" w:beforeLines="50"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科目代码：</w:t>
      </w:r>
      <w:r>
        <w:rPr>
          <w:rFonts w:ascii="黑体" w:hAnsi="黑体" w:eastAsia="黑体" w:cs="黑体"/>
          <w:sz w:val="32"/>
          <w:szCs w:val="32"/>
          <w:u w:val="thick"/>
        </w:rPr>
        <w:t>620</w:t>
      </w:r>
      <w:r>
        <w:rPr>
          <w:rFonts w:hint="eastAsia" w:ascii="黑体" w:hAnsi="黑体" w:eastAsia="黑体" w:cs="黑体"/>
          <w:sz w:val="32"/>
          <w:szCs w:val="32"/>
        </w:rPr>
        <w:t>；  科目名称：</w:t>
      </w:r>
      <w:r>
        <w:rPr>
          <w:rFonts w:hint="eastAsia" w:ascii="黑体" w:hAnsi="黑体" w:eastAsia="黑体" w:cs="黑体"/>
          <w:sz w:val="32"/>
          <w:szCs w:val="32"/>
          <w:u w:val="thick"/>
        </w:rPr>
        <w:t>分析化学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一、考试性质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分析化学是化学专业硕士生入学考试的业务课。考试对象为参加化学专业2022年全国硕士研究生入学考试的准考考生。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二、考试形式与考试时间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三、考查要点</w:t>
      </w:r>
    </w:p>
    <w:p>
      <w:pPr>
        <w:pStyle w:val="2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（一）分析化学中的误差及数据处理。包括误差和偏差、精密度和准确度、系统误差和偶然误差、有效数字及有效数字的计算、置信度和置信区间、显著性检验。</w:t>
      </w:r>
    </w:p>
    <w:p>
      <w:pPr>
        <w:pStyle w:val="2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（二）滴定分析及重量分析。包括酸碱滴定法、络合滴定法、氧化还原滴定法、沉淀滴定法、重量分析法。</w:t>
      </w:r>
    </w:p>
    <w:p>
      <w:pPr>
        <w:pStyle w:val="2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（三）吸收光谱法及荧光分析法。包括可见吸光光度法、紫外可见吸收光谱法、</w:t>
      </w:r>
      <w:r>
        <w:rPr>
          <w:rFonts w:asciiTheme="minorHAnsi" w:hAnsiTheme="minorHAnsi" w:eastAsiaTheme="minorEastAsia" w:cstheme="minorBidi"/>
          <w:sz w:val="28"/>
          <w:szCs w:val="28"/>
        </w:rPr>
        <w:t>分子荧光分析法</w:t>
      </w:r>
      <w:r>
        <w:rPr>
          <w:rFonts w:hint="eastAsia" w:asciiTheme="minorHAnsi" w:hAnsiTheme="minorHAnsi" w:eastAsiaTheme="minorEastAsia" w:cstheme="minorBidi"/>
          <w:sz w:val="28"/>
          <w:szCs w:val="28"/>
        </w:rPr>
        <w:t>。</w:t>
      </w:r>
    </w:p>
    <w:p>
      <w:pPr>
        <w:pStyle w:val="2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（四）原子光谱分析。包括原子发射光谱分析、原子吸收光谱分析、原子荧光分析。</w:t>
      </w:r>
    </w:p>
    <w:p>
      <w:pPr>
        <w:pStyle w:val="2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（五）电化学分析。包括电位分析、伏安分析、电解及库仑分析。</w:t>
      </w:r>
    </w:p>
    <w:p>
      <w:pPr>
        <w:pStyle w:val="2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sz w:val="28"/>
          <w:szCs w:val="28"/>
        </w:rPr>
        <w:t>（六）色谱分析。包括气相色谱分析及高效液相色谱分析。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四、计算器使用要求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本科目需要使用计算器。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试题</w:t>
      </w:r>
      <w:r>
        <w:rPr>
          <w:rFonts w:hint="eastAsia" w:ascii="黑体" w:hAnsi="黑体" w:eastAsia="黑体" w:cs="黑体"/>
          <w:sz w:val="28"/>
          <w:szCs w:val="28"/>
        </w:rPr>
        <w:t>导语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参考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单项选择题（共30分，15小题，每题2分）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填空题（共20分，10小题，每题2分）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简答题（共50分）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计算题（共50分）</w:t>
      </w:r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注：试题导语信息最终以试题命制为准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附件2：参考书目信息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武汉大学主编.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分析化学（上册）（第五版），高等教育出版社，2006.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758825</wp:posOffset>
            </wp:positionV>
            <wp:extent cx="3378200" cy="3378200"/>
            <wp:effectExtent l="0" t="0" r="12700" b="12700"/>
            <wp:wrapNone/>
            <wp:docPr id="3" name="图片 3" descr="C:\Users\lenovo\Desktop\222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2222_副本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706120</wp:posOffset>
            </wp:positionV>
            <wp:extent cx="2520315" cy="3395980"/>
            <wp:effectExtent l="0" t="0" r="13335" b="13970"/>
            <wp:wrapNone/>
            <wp:docPr id="2" name="图片 2" descr="C:\Users\lenovo\Desktop\2222222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22222222_副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朱明华编著.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仪器分析（第四版），高等教育出版社，2008.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A249"/>
    <w:multiLevelType w:val="singleLevel"/>
    <w:tmpl w:val="6CEAA2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85C"/>
    <w:rsid w:val="00926FE1"/>
    <w:rsid w:val="009C5482"/>
    <w:rsid w:val="00B4758F"/>
    <w:rsid w:val="00E0254C"/>
    <w:rsid w:val="00FE285C"/>
    <w:rsid w:val="2A937983"/>
    <w:rsid w:val="6E71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spacing w:line="440" w:lineRule="atLeast"/>
      <w:ind w:firstLine="482"/>
    </w:pPr>
    <w:rPr>
      <w:rFonts w:ascii="Times New Roman" w:hAnsi="Times New Roman" w:eastAsia="宋体" w:cs="Times New Roman"/>
      <w:sz w:val="24"/>
      <w:szCs w:val="20"/>
    </w:rPr>
  </w:style>
  <w:style w:type="character" w:customStyle="1" w:styleId="5">
    <w:name w:val="正文文本缩进 字符"/>
    <w:basedOn w:val="4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512</Characters>
  <Lines>4</Lines>
  <Paragraphs>1</Paragraphs>
  <TotalTime>4</TotalTime>
  <ScaleCrop>false</ScaleCrop>
  <LinksUpToDate>false</LinksUpToDate>
  <CharactersWithSpaces>600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2021-07-09T06:37:00Z</dcterms:created>
  <dc:creator>Administrator</dc:creator>
  <cp:lastModifiedBy>辛明阳</cp:lastModifiedBy>
  <dcterms:modified xsi:type="dcterms:W3CDTF">2021-08-31T07:12:28Z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07483692D21D4FF59DC841EBEB3A6E59</vt:lpwstr>
  </property>
</Properties>
</file>