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z w:val="44"/>
          <w:szCs w:val="44"/>
        </w:rPr>
        <w:t>黑龙江大学硕士研究生入学考试大纲</w:t>
      </w:r>
    </w:p>
    <w:p>
      <w:pPr>
        <w:adjustRightInd w:val="0"/>
        <w:snapToGrid w:val="0"/>
        <w:rPr>
          <w:rFonts w:hint="eastAsia" w:ascii="方正书宋简体" w:eastAsia="方正书宋简体"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考试科目名称：语言学基础    考试科目代码：[817]</w:t>
      </w:r>
    </w:p>
    <w:p>
      <w:pPr>
        <w:adjustRightInd w:val="0"/>
        <w:snapToGrid w:val="0"/>
        <w:rPr>
          <w:rFonts w:hint="eastAsia" w:ascii="方正书宋简体" w:eastAsia="方正书宋简体"/>
          <w:b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一、考试要求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普通语言学区分为语言系统描述和语言系统研究两大部分。要求考生正确理解和掌握这两大部分的基本概念、基本原理和主要流派的研究方法、基本思想；具备运用普通语言学基本理论分析具体语言现象的能力。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二、考试内容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 语言学导论（语言与语言学）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a. 语言的总体情况（什么是语言、语言的定义特征、语言的功能、动物的“语言”与人类的语言）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b. 语言学的总体情况（语言学及其分支学科、语言学中的一些重要区别）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2. 语言的构造与机制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>a</w:t>
      </w:r>
      <w:r>
        <w:rPr>
          <w:rFonts w:hint="eastAsia" w:ascii="宋体" w:hAnsi="宋体"/>
          <w:bCs/>
          <w:sz w:val="24"/>
        </w:rPr>
        <w:t>. 语言的构造（语言的构造系统、语言单位的切分和归并、语言单位的组合关系与聚合关系）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b. 语言的机制（预设机制、排除机制、补偿机制、类推机制、对称机制、经济机制、区别机制）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3. 语音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语音的性质和分类（语音的生理基础、语音的物理性质，音素和音标、元音、辅音）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音位（音位和音位变体、音位的区别特征、超音质音位）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音位组合（音节、语调）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 词汇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a.什么是词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语素和词（语素和语素变体、词和词的构成、自由和黏着）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词的基本组合类型和词类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 语法（句法）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语法手段和语法范畴、词类（语法手段、语法范畴）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句子（句子和成句的条件、句子的结构分析、显性结构与隐性结构、变换）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语法结构类型（形态类型，句法类型）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6. 语义（意义）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词义（词和词义、词义的层次、词义的发展模式、词义的概念内容与联想内容、词义的关系、义素分析）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句义（句子与句义、句子中词义的选择与限制、歧义、预设）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意义（“意义”的意义、指称论、涵义关系、成分分析法、句子意义）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7. 语言的变异（语言的演变）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语言变异（地域变异、社会变异、功能变异）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语言演变（概念、原因、特点）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语言亲属关系（概念）和语言的谱系分类（概念）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8. 文字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文字的性质和作用（什么是文字，文字的三要素）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文字的起源和发展（无文字时代的记事手段）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9. 语言的使用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言语行为理论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会话含义理论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后格赖斯时期的发展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d. 语境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10. 现代语言学理论与流派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索绪尔的语言学理论。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布拉格学派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伦敦学派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d. 韩礼德与系统功能语法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e. 美国结构主义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f. 转换生成语法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11. 语言学与外语教学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a. 语言学与语言教学的关系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b. 语言学与语言学习（语言学与语言教学）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c. 语言学与教学大纲的设计</w:t>
      </w:r>
    </w:p>
    <w:p>
      <w:pPr>
        <w:adjustRightInd w:val="0"/>
        <w:snapToGrid w:val="0"/>
        <w:spacing w:line="360" w:lineRule="auto"/>
        <w:ind w:left="1134" w:leftChars="338" w:hanging="424" w:hangingChars="177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d. 语料库语言学与语言教学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三、试卷结构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1．考试时间：180分钟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2．试卷分值：150分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 题型结构：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. 术语解释（15分，共5题，每题3分；本部分主要以参考书目1为主）；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b. 选择题（30分，共15题，每空2分；本部分主要以参考书目1、2为主）；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c. 分析题（15分, 共1题，每题15分；本部分主要以参考书目2为主）；</w:t>
      </w:r>
    </w:p>
    <w:p>
      <w:pPr>
        <w:adjustRightInd w:val="0"/>
        <w:snapToGrid w:val="0"/>
        <w:spacing w:line="360" w:lineRule="auto"/>
        <w:ind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d. 简答题（45分，共3题，每题15分；本部分主要以参考书目2为主）；</w:t>
      </w:r>
    </w:p>
    <w:p>
      <w:pPr>
        <w:adjustRightInd w:val="0"/>
        <w:snapToGrid w:val="0"/>
        <w:spacing w:line="360" w:lineRule="auto"/>
        <w:ind w:left="2398" w:leftChars="342" w:hanging="1680" w:hangingChars="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e. 论述题（45分，共2题，第一题25分，第二题20分；本部分主要以参考书目2为主）。</w:t>
      </w:r>
    </w:p>
    <w:p>
      <w:pPr>
        <w:adjustRightInd w:val="0"/>
        <w:snapToGrid w:val="0"/>
        <w:spacing w:line="360" w:lineRule="auto"/>
        <w:rPr>
          <w:rFonts w:hint="eastAsia" w:ascii="方正书宋简体" w:eastAsia="方正书宋简体"/>
          <w:b/>
          <w:sz w:val="24"/>
        </w:rPr>
      </w:pPr>
      <w:r>
        <w:rPr>
          <w:rFonts w:hint="eastAsia" w:ascii="方正书宋简体" w:eastAsia="方正书宋简体"/>
          <w:b/>
          <w:sz w:val="24"/>
        </w:rPr>
        <w:t>四、参考书目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hint="eastAsia" w:ascii="宋体" w:hAnsi="宋体"/>
          <w:snapToGrid w:val="0"/>
          <w:kern w:val="0"/>
          <w:sz w:val="24"/>
        </w:rPr>
        <w:t>《普通语言学概要》(第三版)，伍铁平、王庆，高等教育出版社，2014年版。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2. 《语言学教程》(第四版中文本)，胡壮麟，北京大学出版社，2013年版。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480"/>
        <w:jc w:val="right"/>
        <w:rPr>
          <w:rFonts w:hint="eastAsia"/>
          <w:snapToGrid w:val="0"/>
          <w:spacing w:val="-4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 xml:space="preserve">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91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082"/>
    <w:rsid w:val="000A73EE"/>
    <w:rsid w:val="000F0505"/>
    <w:rsid w:val="001C7E21"/>
    <w:rsid w:val="0036621E"/>
    <w:rsid w:val="00366C3D"/>
    <w:rsid w:val="00597D9B"/>
    <w:rsid w:val="005A776E"/>
    <w:rsid w:val="005B5CEC"/>
    <w:rsid w:val="006367D8"/>
    <w:rsid w:val="00655BF9"/>
    <w:rsid w:val="006E1E34"/>
    <w:rsid w:val="00782B66"/>
    <w:rsid w:val="007E6215"/>
    <w:rsid w:val="00801599"/>
    <w:rsid w:val="00810ED9"/>
    <w:rsid w:val="009670B7"/>
    <w:rsid w:val="009F108E"/>
    <w:rsid w:val="00A93939"/>
    <w:rsid w:val="00AA19EE"/>
    <w:rsid w:val="00AE4480"/>
    <w:rsid w:val="00AE655A"/>
    <w:rsid w:val="00C22108"/>
    <w:rsid w:val="00CF5A4B"/>
    <w:rsid w:val="00CF720F"/>
    <w:rsid w:val="00D26869"/>
    <w:rsid w:val="00E72B19"/>
    <w:rsid w:val="00FF66CF"/>
    <w:rsid w:val="18934F77"/>
    <w:rsid w:val="334E778A"/>
    <w:rsid w:val="37BA1198"/>
    <w:rsid w:val="6E940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日期 Char"/>
    <w:link w:val="2"/>
    <w:uiPriority w:val="0"/>
    <w:rPr>
      <w:kern w:val="2"/>
      <w:sz w:val="21"/>
      <w:szCs w:val="24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3</Pages>
  <Words>224</Words>
  <Characters>1282</Characters>
  <Lines>10</Lines>
  <Paragraphs>3</Paragraphs>
  <TotalTime>0</TotalTime>
  <ScaleCrop>false</ScaleCrop>
  <LinksUpToDate>false</LinksUpToDate>
  <CharactersWithSpaces>1503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2016-09-29T00:53:00Z</dcterms:created>
  <dc:creator>Lenovo User</dc:creator>
  <cp:lastModifiedBy>Administrator</cp:lastModifiedBy>
  <cp:lastPrinted>2016-09-28T07:56:00Z</cp:lastPrinted>
  <dcterms:modified xsi:type="dcterms:W3CDTF">2021-09-22T02:13:38Z</dcterms:modified>
  <dc:title>考试大纲格式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