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山东建筑大学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研究生入学考试</w:t>
      </w:r>
      <w:r>
        <w:rPr>
          <w:rFonts w:ascii="宋体" w:hAnsi="宋体"/>
          <w:b/>
          <w:bCs/>
          <w:sz w:val="30"/>
          <w:szCs w:val="30"/>
        </w:rPr>
        <w:t>《</w:t>
      </w:r>
      <w:r>
        <w:rPr>
          <w:rFonts w:hint="eastAsia" w:ascii="宋体" w:hAnsi="宋体"/>
          <w:b/>
          <w:bCs/>
          <w:sz w:val="30"/>
          <w:szCs w:val="30"/>
        </w:rPr>
        <w:t>物理化学》研究生复试大纲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</w:p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一、该课程的基本内容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物理化学复试内容包括热力学、化学平衡、相图、动力学、电化学、界面化学等基本知识。</w:t>
      </w: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二、课程内容的基本要求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int="eastAsia"/>
          <w:szCs w:val="20"/>
        </w:rPr>
      </w:pPr>
      <w:r>
        <w:rPr>
          <w:rFonts w:hint="eastAsia"/>
          <w:szCs w:val="20"/>
        </w:rPr>
        <w:t>气体</w:t>
      </w:r>
    </w:p>
    <w:p>
      <w:pPr>
        <w:pStyle w:val="8"/>
        <w:spacing w:before="0" w:beforeAutospacing="0" w:after="0" w:afterAutospacing="0"/>
        <w:ind w:left="2" w:firstLine="477" w:firstLineChars="199"/>
        <w:rPr>
          <w:rFonts w:hint="eastAsia"/>
          <w:szCs w:val="20"/>
        </w:rPr>
      </w:pPr>
      <w:r>
        <w:rPr>
          <w:rFonts w:hint="eastAsia"/>
          <w:szCs w:val="20"/>
        </w:rPr>
        <w:t>熟练应用理想气体方程进行计算；掌握分压、分体积、饱和蒸气压、压缩因子等概念及道尔顿定律、阿马格定律；熟悉临界状态及理想对应状态原理。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int="eastAsia"/>
          <w:szCs w:val="20"/>
        </w:rPr>
      </w:pPr>
      <w:r>
        <w:rPr>
          <w:rFonts w:hint="eastAsia"/>
          <w:szCs w:val="20"/>
        </w:rPr>
        <w:t>热力学第一定律</w:t>
      </w:r>
    </w:p>
    <w:p>
      <w:pPr>
        <w:pStyle w:val="8"/>
        <w:spacing w:before="0" w:beforeAutospacing="0" w:after="0" w:afterAutospacing="0"/>
        <w:ind w:left="1" w:firstLine="480" w:firstLineChars="200"/>
        <w:rPr>
          <w:rFonts w:hint="eastAsia"/>
          <w:szCs w:val="20"/>
        </w:rPr>
      </w:pPr>
      <w:r>
        <w:rPr>
          <w:rFonts w:hint="eastAsia"/>
          <w:szCs w:val="20"/>
        </w:rPr>
        <w:t>掌握热力学第一定律，明确热力学公式的物理意义、应用条件及其相互关系，熟练掌握各热力学函数变化值的计算方法，明确状态函数、可逆过程与不可逆过程等概念。</w:t>
      </w:r>
    </w:p>
    <w:p>
      <w:pPr>
        <w:pStyle w:val="8"/>
        <w:spacing w:before="0" w:beforeAutospacing="0" w:after="0" w:afterAutospacing="0"/>
        <w:ind w:left="360" w:hanging="360" w:hangingChars="150"/>
        <w:rPr>
          <w:rFonts w:hint="eastAsia"/>
          <w:szCs w:val="20"/>
        </w:rPr>
      </w:pPr>
      <w:r>
        <w:rPr>
          <w:rFonts w:hint="eastAsia"/>
          <w:szCs w:val="20"/>
        </w:rPr>
        <w:t>3.热力学第二定律</w:t>
      </w:r>
    </w:p>
    <w:p>
      <w:pPr>
        <w:pStyle w:val="8"/>
        <w:spacing w:before="0" w:beforeAutospacing="0" w:after="0" w:afterAutospacing="0"/>
        <w:ind w:left="-1" w:firstLine="480" w:firstLineChars="200"/>
        <w:rPr>
          <w:rFonts w:hint="eastAsia"/>
          <w:szCs w:val="20"/>
        </w:rPr>
      </w:pPr>
      <w:r>
        <w:rPr>
          <w:rFonts w:hint="eastAsia"/>
          <w:szCs w:val="20"/>
        </w:rPr>
        <w:t>掌握热力学第二定律，明确重要热力学公式的物理意义、应用条件及其相互关系，熟练掌握各热力学函数变化值的计算方法，掌握偏摩尔量及化学势的概念，掌握各判据应用的条件。</w:t>
      </w:r>
    </w:p>
    <w:p>
      <w:pPr>
        <w:pStyle w:val="8"/>
        <w:spacing w:before="0" w:beforeAutospacing="0" w:after="0" w:afterAutospacing="0"/>
        <w:ind w:left="360" w:hanging="360" w:hangingChars="150"/>
        <w:rPr>
          <w:rFonts w:hint="eastAsia"/>
          <w:szCs w:val="20"/>
        </w:rPr>
      </w:pPr>
      <w:r>
        <w:rPr>
          <w:rFonts w:hint="eastAsia"/>
          <w:szCs w:val="20"/>
        </w:rPr>
        <w:t>4.化学平衡</w:t>
      </w:r>
    </w:p>
    <w:p>
      <w:pPr>
        <w:pStyle w:val="8"/>
        <w:spacing w:before="0" w:beforeAutospacing="0" w:after="0" w:afterAutospacing="0"/>
        <w:ind w:left="2" w:firstLine="477" w:firstLineChars="199"/>
        <w:rPr>
          <w:rFonts w:hint="eastAsia"/>
          <w:szCs w:val="20"/>
        </w:rPr>
      </w:pPr>
      <w:r>
        <w:rPr>
          <w:rFonts w:hint="eastAsia"/>
          <w:szCs w:val="20"/>
        </w:rPr>
        <w:t>明确标准平衡常数的定义；掌握反应吉布斯函数与标准平衡常数的关系；熟练掌握影响化学反应平衡的各因素及作用；了解真实气体的逸度。</w:t>
      </w:r>
    </w:p>
    <w:p>
      <w:pPr>
        <w:pStyle w:val="8"/>
        <w:spacing w:before="0" w:beforeAutospacing="0" w:after="0" w:afterAutospacing="0"/>
        <w:ind w:left="360" w:hanging="360" w:hangingChars="150"/>
        <w:rPr>
          <w:rFonts w:hint="eastAsia"/>
          <w:szCs w:val="20"/>
        </w:rPr>
      </w:pPr>
      <w:r>
        <w:rPr>
          <w:rFonts w:hint="eastAsia"/>
          <w:szCs w:val="20"/>
        </w:rPr>
        <w:t>5.多组分系各组分统热力学</w:t>
      </w:r>
    </w:p>
    <w:p>
      <w:pPr>
        <w:pStyle w:val="8"/>
        <w:spacing w:before="0" w:beforeAutospacing="0" w:after="0" w:afterAutospacing="0"/>
        <w:ind w:left="1" w:firstLine="480" w:firstLineChars="200"/>
        <w:rPr>
          <w:rFonts w:hint="eastAsia"/>
          <w:szCs w:val="20"/>
        </w:rPr>
      </w:pPr>
      <w:r>
        <w:rPr>
          <w:rFonts w:hint="eastAsia"/>
          <w:szCs w:val="20"/>
        </w:rPr>
        <w:t>掌握拉乌尔、亨利定律的表达式及应用；理解理想液态混合物、理想稀溶液及真实混合物中化学势的表达式；了解稀溶液的依数性、活度的标准状态以及任一组分的活度与活度因子的简单计算方法；理解分配定律的热力学原理及应用。</w:t>
      </w:r>
    </w:p>
    <w:p>
      <w:pPr>
        <w:pStyle w:val="8"/>
        <w:spacing w:before="0" w:beforeAutospacing="0" w:after="0" w:afterAutospacing="0"/>
        <w:ind w:left="360" w:hanging="360" w:hangingChars="150"/>
        <w:rPr>
          <w:rFonts w:hint="eastAsia"/>
          <w:szCs w:val="20"/>
        </w:rPr>
      </w:pPr>
      <w:r>
        <w:rPr>
          <w:rFonts w:hint="eastAsia"/>
          <w:szCs w:val="20"/>
        </w:rPr>
        <w:t>6. 相平衡</w:t>
      </w:r>
    </w:p>
    <w:p>
      <w:pPr>
        <w:pStyle w:val="8"/>
        <w:spacing w:before="0" w:beforeAutospacing="0" w:after="0" w:afterAutospacing="0"/>
        <w:ind w:left="2" w:firstLine="477" w:firstLineChars="199"/>
        <w:rPr>
          <w:rFonts w:hint="eastAsia"/>
          <w:szCs w:val="20"/>
        </w:rPr>
      </w:pPr>
      <w:r>
        <w:rPr>
          <w:rFonts w:hint="eastAsia"/>
          <w:szCs w:val="20"/>
        </w:rPr>
        <w:t>掌握相律表达式各项的意义，能根据相平衡条件推导克－克方程及克拉佩龙方程并能进行相应的计算；掌握单组分系统及两组分系统的各典型相图特点及应用；能运用相律分析相图，能用杠杆定律进行物料的衡算。对凝聚系统的相图，能画出任意组成的步冷曲线的形状，说明步冷过程的相变化。</w:t>
      </w:r>
    </w:p>
    <w:p>
      <w:pPr>
        <w:pStyle w:val="8"/>
        <w:spacing w:before="0" w:beforeAutospacing="0" w:after="0" w:afterAutospacing="0"/>
        <w:ind w:left="360" w:hanging="360" w:hangingChars="150"/>
        <w:rPr>
          <w:rFonts w:hint="eastAsia"/>
          <w:szCs w:val="20"/>
        </w:rPr>
      </w:pPr>
      <w:r>
        <w:rPr>
          <w:rFonts w:hint="eastAsia"/>
          <w:szCs w:val="20"/>
        </w:rPr>
        <w:t>7. 电化学</w:t>
      </w:r>
    </w:p>
    <w:p>
      <w:pPr>
        <w:pStyle w:val="8"/>
        <w:spacing w:before="0" w:beforeAutospacing="0" w:after="0" w:afterAutospacing="0"/>
        <w:ind w:left="1" w:firstLine="480" w:firstLineChars="200"/>
        <w:rPr>
          <w:rFonts w:hint="eastAsia"/>
          <w:szCs w:val="20"/>
        </w:rPr>
      </w:pPr>
      <w:r>
        <w:rPr>
          <w:rFonts w:hint="eastAsia"/>
          <w:szCs w:val="20"/>
        </w:rPr>
        <w:t>掌握电解质溶液的基本概念及理论、电导及其应用、可逆电池热力学及其应用；能够运用Nenst方程式并结合热力学相关内容进行计算；掌握极化、超电势、析出电位等概念。</w:t>
      </w:r>
    </w:p>
    <w:p>
      <w:pPr>
        <w:pStyle w:val="8"/>
        <w:spacing w:before="0" w:beforeAutospacing="0" w:after="0" w:afterAutospacing="0"/>
        <w:ind w:left="360" w:hanging="360" w:hangingChars="150"/>
        <w:rPr>
          <w:rFonts w:hint="eastAsia"/>
          <w:szCs w:val="20"/>
        </w:rPr>
      </w:pPr>
      <w:r>
        <w:rPr>
          <w:rFonts w:hint="eastAsia"/>
          <w:szCs w:val="20"/>
        </w:rPr>
        <w:t>8. 界面化学</w:t>
      </w:r>
    </w:p>
    <w:p>
      <w:pPr>
        <w:pStyle w:val="8"/>
        <w:spacing w:before="0" w:beforeAutospacing="0" w:after="0" w:afterAutospacing="0"/>
        <w:ind w:left="2" w:firstLine="477" w:firstLineChars="199"/>
        <w:rPr>
          <w:rFonts w:hint="eastAsia"/>
          <w:szCs w:val="20"/>
        </w:rPr>
      </w:pPr>
      <w:r>
        <w:rPr>
          <w:rFonts w:hint="eastAsia"/>
          <w:szCs w:val="20"/>
        </w:rPr>
        <w:t>掌握表面吉布斯自由能及表面张力的概念及其应用，了解不同相界面的热力学性质及表面活性剂的作用；掌握杨氏方程、拉普拉斯方程、开尔文公式、吉布斯吸附公式、朗格谬尔吸附等温式及其应用。</w:t>
      </w:r>
    </w:p>
    <w:p>
      <w:pPr>
        <w:pStyle w:val="8"/>
        <w:spacing w:before="0" w:beforeAutospacing="0" w:after="0" w:afterAutospacing="0"/>
        <w:ind w:left="360" w:hanging="360" w:hangingChars="150"/>
        <w:rPr>
          <w:rFonts w:hint="eastAsia"/>
          <w:szCs w:val="20"/>
        </w:rPr>
      </w:pPr>
      <w:r>
        <w:rPr>
          <w:rFonts w:hint="eastAsia"/>
          <w:szCs w:val="20"/>
        </w:rPr>
        <w:t>9. 化学动力学</w:t>
      </w:r>
    </w:p>
    <w:p>
      <w:pPr>
        <w:pStyle w:val="8"/>
        <w:spacing w:before="0" w:beforeAutospacing="0" w:after="0" w:afterAutospacing="0"/>
        <w:ind w:left="1" w:firstLine="480" w:firstLineChars="200"/>
        <w:rPr>
          <w:rFonts w:hint="eastAsia"/>
          <w:szCs w:val="20"/>
        </w:rPr>
      </w:pPr>
      <w:r>
        <w:rPr>
          <w:rFonts w:hint="eastAsia"/>
          <w:szCs w:val="20"/>
        </w:rPr>
        <w:t>掌握反应速率常数、活化能、反应级数的测定和计算方法；熟练掌握0级、1级、2级反应速率方程式、阿累尼乌斯方程及其计算；了解基元反应速率理论、分子反应动力学的实验方法及其理论研究上的意义。</w:t>
      </w:r>
    </w:p>
    <w:p>
      <w:pPr>
        <w:pStyle w:val="8"/>
        <w:spacing w:before="0" w:beforeAutospacing="0" w:after="0" w:afterAutospacing="0"/>
        <w:ind w:left="1" w:firstLine="480" w:firstLineChars="200"/>
        <w:rPr>
          <w:rFonts w:hint="eastAsia"/>
          <w:szCs w:val="20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三、主要参考书</w:t>
      </w:r>
    </w:p>
    <w:p>
      <w:pPr>
        <w:numPr>
          <w:ilvl w:val="0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肖衍繁，李文斌.物理化学，天津大学出版社</w:t>
      </w:r>
    </w:p>
    <w:p>
      <w:pPr>
        <w:numPr>
          <w:ilvl w:val="0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8"/>
        </w:rPr>
        <w:t>天津大学编，物理化学（第四版），高等教育出版社</w:t>
      </w:r>
    </w:p>
    <w:p>
      <w:pPr>
        <w:ind w:left="435" w:leftChars="207" w:firstLine="240" w:firstLineChars="100"/>
        <w:rPr>
          <w:rFonts w:hint="eastAsia" w:ascii="宋体" w:hAnsi="宋体"/>
          <w:sz w:val="24"/>
        </w:rPr>
      </w:pPr>
    </w:p>
    <w:p>
      <w:pPr>
        <w:ind w:left="794" w:leftChars="378"/>
        <w:rPr>
          <w:rFonts w:hint="eastAsia" w:ascii="宋体" w:hAnsi="宋体"/>
          <w:sz w:val="24"/>
        </w:rPr>
      </w:pPr>
    </w:p>
    <w:p>
      <w:pPr>
        <w:ind w:left="435" w:leftChars="207" w:firstLine="240" w:firstLineChars="100"/>
        <w:rPr>
          <w:rFonts w:hint="eastAsia" w:ascii="宋体" w:hAnsi="宋体"/>
          <w:sz w:val="24"/>
        </w:rPr>
      </w:pPr>
    </w:p>
    <w:p>
      <w:pPr>
        <w:ind w:left="435" w:leftChars="207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2021年7月20日修订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F"/>
    <w:multiLevelType w:val="multilevel"/>
    <w:tmpl w:val="0000000F"/>
    <w:lvl w:ilvl="0" w:tentative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5392A"/>
    <w:rsid w:val="00DE27A8"/>
    <w:rsid w:val="20F5223E"/>
    <w:rsid w:val="618A4C84"/>
    <w:rsid w:val="63A77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uiPriority w:val="0"/>
    <w:pPr>
      <w:ind w:left="1327" w:leftChars="134" w:hanging="1046" w:hangingChars="498"/>
    </w:pPr>
  </w:style>
  <w:style w:type="paragraph" w:styleId="6">
    <w:name w:val="Body Text Indent 2"/>
    <w:basedOn w:val="1"/>
    <w:uiPriority w:val="0"/>
    <w:pPr>
      <w:ind w:left="1329" w:leftChars="135" w:hanging="1046" w:hangingChars="498"/>
    </w:pPr>
  </w:style>
  <w:style w:type="paragraph" w:styleId="7">
    <w:name w:val="Body Text Indent 3"/>
    <w:basedOn w:val="1"/>
    <w:uiPriority w:val="0"/>
    <w:pPr>
      <w:ind w:left="1343" w:leftChars="135" w:hanging="1060" w:hangingChars="505"/>
    </w:p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877</Characters>
  <Lines>7</Lines>
  <Paragraphs>2</Paragraphs>
  <TotalTime>0</TotalTime>
  <ScaleCrop>false</ScaleCrop>
  <LinksUpToDate>false</LinksUpToDate>
  <CharactersWithSpaces>1028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2008-03-31T07:53:00Z</dcterms:created>
  <dc:creator>tqb</dc:creator>
  <cp:lastModifiedBy>Administrator</cp:lastModifiedBy>
  <dcterms:modified xsi:type="dcterms:W3CDTF">2021-09-22T03:26:15Z</dcterms:modified>
  <dc:title>《电化学与电镀工艺学》课程教学基本要求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B4710B5A1DA74D26BD6B29F18CB3FC93</vt:lpwstr>
  </property>
</Properties>
</file>