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ascii="宋体" w:hAnsi="宋体"/>
          <w:sz w:val="28"/>
          <w:szCs w:val="28"/>
        </w:rPr>
      </w:pPr>
      <w:bookmarkStart w:id="0" w:name="_GoBack"/>
      <w:bookmarkEnd w:id="0"/>
      <w:r>
        <w:rPr>
          <w:rFonts w:hint="eastAsia" w:ascii="宋体" w:hAnsi="宋体"/>
          <w:sz w:val="28"/>
          <w:szCs w:val="28"/>
        </w:rPr>
        <w:t>硕士研究生招生考试初试科目考试大纲</w:t>
      </w:r>
    </w:p>
    <w:p>
      <w:pPr>
        <w:adjustRightInd w:val="0"/>
        <w:snapToGrid w:val="0"/>
        <w:spacing w:line="480" w:lineRule="exact"/>
        <w:jc w:val="left"/>
        <w:rPr>
          <w:rFonts w:ascii="宋体" w:hAnsi="宋体"/>
          <w:sz w:val="28"/>
          <w:szCs w:val="28"/>
        </w:rPr>
      </w:pPr>
    </w:p>
    <w:p>
      <w:pPr>
        <w:adjustRightInd w:val="0"/>
        <w:snapToGrid w:val="0"/>
        <w:jc w:val="center"/>
        <w:rPr>
          <w:rFonts w:ascii="宋体" w:hAnsi="宋体"/>
          <w:sz w:val="24"/>
        </w:rPr>
      </w:pPr>
      <w:r>
        <w:rPr>
          <w:rFonts w:hint="eastAsia" w:ascii="宋体" w:hAnsi="宋体"/>
          <w:b/>
          <w:sz w:val="24"/>
        </w:rPr>
        <w:t>科目名称：材料科学基础</w:t>
      </w:r>
    </w:p>
    <w:p>
      <w:pPr>
        <w:adjustRightInd w:val="0"/>
        <w:snapToGrid w:val="0"/>
        <w:ind w:firstLine="480" w:firstLineChars="200"/>
        <w:jc w:val="left"/>
        <w:rPr>
          <w:rFonts w:ascii="宋体" w:hAnsi="宋体"/>
          <w:sz w:val="24"/>
        </w:rPr>
      </w:pPr>
    </w:p>
    <w:p>
      <w:pPr>
        <w:adjustRightInd w:val="0"/>
        <w:snapToGrid w:val="0"/>
        <w:spacing w:line="360" w:lineRule="auto"/>
        <w:ind w:firstLine="480" w:firstLineChars="200"/>
        <w:jc w:val="left"/>
        <w:rPr>
          <w:rFonts w:ascii="宋体" w:hAnsi="宋体"/>
          <w:b/>
          <w:sz w:val="24"/>
        </w:rPr>
      </w:pPr>
      <w:r>
        <w:rPr>
          <w:rFonts w:hint="eastAsia" w:ascii="宋体" w:hAnsi="宋体"/>
          <w:b/>
          <w:sz w:val="24"/>
        </w:rPr>
        <w:t>一、考试的范围及目标</w:t>
      </w:r>
    </w:p>
    <w:p>
      <w:pPr>
        <w:widowControl/>
        <w:adjustRightInd w:val="0"/>
        <w:snapToGrid w:val="0"/>
        <w:spacing w:line="360" w:lineRule="auto"/>
        <w:ind w:firstLine="480" w:firstLineChars="200"/>
        <w:jc w:val="left"/>
        <w:rPr>
          <w:kern w:val="0"/>
          <w:sz w:val="24"/>
        </w:rPr>
      </w:pPr>
      <w:r>
        <w:rPr>
          <w:rFonts w:hAnsi="宋体"/>
          <w:kern w:val="0"/>
          <w:sz w:val="24"/>
        </w:rPr>
        <w:t>《材料科学基础》是材料学科的专业基础课，着重讲述材料的微观组织与性能之间的关系。</w:t>
      </w:r>
      <w:r>
        <w:rPr>
          <w:rFonts w:hint="eastAsia" w:hAnsi="宋体"/>
          <w:kern w:val="0"/>
          <w:sz w:val="24"/>
        </w:rPr>
        <w:t>本</w:t>
      </w:r>
      <w:r>
        <w:rPr>
          <w:rFonts w:hAnsi="宋体"/>
          <w:kern w:val="0"/>
          <w:sz w:val="24"/>
        </w:rPr>
        <w:t>课程</w:t>
      </w:r>
      <w:r>
        <w:rPr>
          <w:rFonts w:hint="eastAsia" w:hAnsi="宋体"/>
          <w:kern w:val="0"/>
          <w:sz w:val="24"/>
        </w:rPr>
        <w:t>是</w:t>
      </w:r>
      <w:r>
        <w:rPr>
          <w:rFonts w:hAnsi="宋体"/>
          <w:kern w:val="0"/>
          <w:sz w:val="24"/>
        </w:rPr>
        <w:t>材料学科专业硕士研究生的入学专业基础考试课程。</w:t>
      </w:r>
    </w:p>
    <w:p>
      <w:pPr>
        <w:widowControl/>
        <w:adjustRightInd w:val="0"/>
        <w:snapToGrid w:val="0"/>
        <w:spacing w:line="360" w:lineRule="auto"/>
        <w:ind w:firstLine="480" w:firstLineChars="200"/>
        <w:jc w:val="left"/>
        <w:rPr>
          <w:kern w:val="0"/>
          <w:sz w:val="24"/>
        </w:rPr>
      </w:pPr>
      <w:r>
        <w:rPr>
          <w:rFonts w:hAnsi="宋体"/>
          <w:kern w:val="0"/>
          <w:sz w:val="24"/>
        </w:rPr>
        <w:t>详细要点见第二部分，重在掌握基本概念</w:t>
      </w:r>
      <w:r>
        <w:rPr>
          <w:rFonts w:hAnsi="宋体"/>
          <w:sz w:val="24"/>
        </w:rPr>
        <w:t>、基本规律和基本结论</w:t>
      </w:r>
      <w:r>
        <w:rPr>
          <w:rFonts w:hAnsi="宋体"/>
          <w:kern w:val="0"/>
          <w:sz w:val="24"/>
        </w:rPr>
        <w:t>及其应用</w:t>
      </w:r>
      <w:r>
        <w:rPr>
          <w:rFonts w:hint="eastAsia" w:hAnsi="宋体"/>
          <w:kern w:val="0"/>
          <w:sz w:val="24"/>
        </w:rPr>
        <w:t>，</w:t>
      </w:r>
      <w:r>
        <w:rPr>
          <w:rFonts w:hAnsi="宋体"/>
          <w:sz w:val="24"/>
        </w:rPr>
        <w:t>能够应用所掌握的内容综合分析有关材料科学及工程领域的相关问题</w:t>
      </w:r>
      <w:r>
        <w:rPr>
          <w:rFonts w:hint="eastAsia" w:hAnsi="宋体"/>
          <w:sz w:val="24"/>
        </w:rPr>
        <w:t>。</w:t>
      </w:r>
    </w:p>
    <w:p>
      <w:pPr>
        <w:widowControl/>
        <w:adjustRightInd w:val="0"/>
        <w:snapToGrid w:val="0"/>
        <w:spacing w:line="360" w:lineRule="auto"/>
        <w:ind w:firstLine="480" w:firstLineChars="200"/>
        <w:jc w:val="left"/>
        <w:rPr>
          <w:kern w:val="0"/>
          <w:sz w:val="24"/>
        </w:rPr>
      </w:pPr>
      <w:r>
        <w:rPr>
          <w:rFonts w:hAnsi="宋体"/>
          <w:kern w:val="0"/>
          <w:sz w:val="24"/>
        </w:rPr>
        <w:t>考试的目标是考查学生对《材料科学基础》基本理论的掌握程度以及应用基本理论分析材料问题的能力。</w:t>
      </w:r>
    </w:p>
    <w:p>
      <w:pPr>
        <w:adjustRightInd w:val="0"/>
        <w:snapToGrid w:val="0"/>
        <w:spacing w:line="360" w:lineRule="auto"/>
        <w:ind w:firstLine="480" w:firstLineChars="200"/>
        <w:jc w:val="left"/>
        <w:rPr>
          <w:rFonts w:ascii="宋体" w:hAnsi="宋体"/>
          <w:b/>
          <w:sz w:val="24"/>
        </w:rPr>
      </w:pPr>
      <w:r>
        <w:rPr>
          <w:rFonts w:hint="eastAsia" w:ascii="宋体" w:hAnsi="宋体"/>
          <w:b/>
          <w:sz w:val="24"/>
        </w:rPr>
        <w:t>二、考试形式与试卷结构</w:t>
      </w:r>
    </w:p>
    <w:p>
      <w:pPr>
        <w:adjustRightInd w:val="0"/>
        <w:snapToGrid w:val="0"/>
        <w:spacing w:line="360" w:lineRule="auto"/>
        <w:ind w:firstLine="480" w:firstLineChars="200"/>
        <w:jc w:val="left"/>
        <w:rPr>
          <w:sz w:val="24"/>
        </w:rPr>
      </w:pPr>
      <w:r>
        <w:rPr>
          <w:sz w:val="24"/>
        </w:rPr>
        <w:t>1</w:t>
      </w:r>
      <w:r>
        <w:rPr>
          <w:rFonts w:hAnsi="宋体"/>
          <w:sz w:val="24"/>
        </w:rPr>
        <w:t>．答卷方式：闭卷，笔试。</w:t>
      </w:r>
    </w:p>
    <w:p>
      <w:pPr>
        <w:adjustRightInd w:val="0"/>
        <w:snapToGrid w:val="0"/>
        <w:spacing w:line="360" w:lineRule="auto"/>
        <w:ind w:firstLine="480" w:firstLineChars="200"/>
        <w:jc w:val="left"/>
        <w:rPr>
          <w:sz w:val="24"/>
        </w:rPr>
      </w:pPr>
      <w:r>
        <w:rPr>
          <w:sz w:val="24"/>
        </w:rPr>
        <w:t>2</w:t>
      </w:r>
      <w:r>
        <w:rPr>
          <w:rFonts w:hAnsi="宋体"/>
          <w:sz w:val="24"/>
        </w:rPr>
        <w:t>．试卷分数：满分为</w:t>
      </w:r>
      <w:r>
        <w:rPr>
          <w:sz w:val="24"/>
        </w:rPr>
        <w:t>150</w:t>
      </w:r>
      <w:r>
        <w:rPr>
          <w:rFonts w:hAnsi="宋体"/>
          <w:sz w:val="24"/>
        </w:rPr>
        <w:t>分。</w:t>
      </w:r>
    </w:p>
    <w:p>
      <w:pPr>
        <w:adjustRightInd w:val="0"/>
        <w:snapToGrid w:val="0"/>
        <w:spacing w:line="360" w:lineRule="auto"/>
        <w:ind w:firstLine="480" w:firstLineChars="200"/>
        <w:jc w:val="left"/>
        <w:rPr>
          <w:sz w:val="24"/>
        </w:rPr>
      </w:pPr>
      <w:r>
        <w:rPr>
          <w:sz w:val="24"/>
        </w:rPr>
        <w:t>3</w:t>
      </w:r>
      <w:r>
        <w:rPr>
          <w:rFonts w:hAnsi="宋体"/>
          <w:sz w:val="24"/>
        </w:rPr>
        <w:t>．试卷结构及题型比例：</w:t>
      </w:r>
    </w:p>
    <w:p>
      <w:pPr>
        <w:adjustRightInd w:val="0"/>
        <w:snapToGrid w:val="0"/>
        <w:spacing w:line="360" w:lineRule="auto"/>
        <w:ind w:firstLine="480" w:firstLineChars="200"/>
        <w:jc w:val="left"/>
        <w:rPr>
          <w:sz w:val="24"/>
        </w:rPr>
      </w:pPr>
      <w:r>
        <w:rPr>
          <w:rFonts w:hAnsi="宋体"/>
          <w:sz w:val="24"/>
        </w:rPr>
        <w:t>试卷主要分为三大部分，即：基本概念题约</w:t>
      </w:r>
      <w:r>
        <w:rPr>
          <w:sz w:val="24"/>
        </w:rPr>
        <w:t>30%</w:t>
      </w:r>
      <w:r>
        <w:rPr>
          <w:rFonts w:hAnsi="宋体"/>
          <w:sz w:val="24"/>
        </w:rPr>
        <w:t>；基本理论分析题约</w:t>
      </w:r>
      <w:r>
        <w:rPr>
          <w:sz w:val="24"/>
        </w:rPr>
        <w:t>50%</w:t>
      </w:r>
      <w:r>
        <w:rPr>
          <w:rFonts w:hAnsi="宋体"/>
          <w:sz w:val="24"/>
        </w:rPr>
        <w:t>；应用计算题约</w:t>
      </w:r>
      <w:r>
        <w:rPr>
          <w:sz w:val="24"/>
        </w:rPr>
        <w:t>20%</w:t>
      </w:r>
      <w:r>
        <w:rPr>
          <w:rFonts w:hAnsi="宋体"/>
          <w:sz w:val="24"/>
        </w:rPr>
        <w:t>。</w:t>
      </w:r>
    </w:p>
    <w:p>
      <w:pPr>
        <w:adjustRightInd w:val="0"/>
        <w:snapToGrid w:val="0"/>
        <w:spacing w:line="360" w:lineRule="auto"/>
        <w:ind w:firstLine="480" w:firstLineChars="200"/>
        <w:jc w:val="left"/>
        <w:rPr>
          <w:rFonts w:ascii="宋体" w:hAnsi="宋体"/>
          <w:b/>
          <w:sz w:val="24"/>
        </w:rPr>
      </w:pPr>
      <w:r>
        <w:rPr>
          <w:rFonts w:hint="eastAsia" w:ascii="宋体" w:hAnsi="宋体"/>
          <w:b/>
          <w:sz w:val="24"/>
        </w:rPr>
        <w:t>三、考试内容要点</w:t>
      </w:r>
    </w:p>
    <w:p>
      <w:pPr>
        <w:adjustRightInd w:val="0"/>
        <w:snapToGrid w:val="0"/>
        <w:spacing w:line="360" w:lineRule="auto"/>
        <w:jc w:val="left"/>
        <w:rPr>
          <w:sz w:val="24"/>
        </w:rPr>
      </w:pPr>
      <w:r>
        <w:rPr>
          <w:sz w:val="24"/>
        </w:rPr>
        <w:t xml:space="preserve">1. </w:t>
      </w:r>
      <w:r>
        <w:rPr>
          <w:rFonts w:hAnsi="宋体"/>
          <w:sz w:val="24"/>
        </w:rPr>
        <w:t>原子结构与键合</w:t>
      </w:r>
    </w:p>
    <w:p>
      <w:pPr>
        <w:widowControl/>
        <w:adjustRightInd w:val="0"/>
        <w:snapToGrid w:val="0"/>
        <w:spacing w:line="360" w:lineRule="auto"/>
        <w:ind w:firstLine="480" w:firstLineChars="200"/>
        <w:jc w:val="left"/>
        <w:rPr>
          <w:kern w:val="0"/>
          <w:sz w:val="24"/>
        </w:rPr>
      </w:pPr>
      <w:r>
        <w:rPr>
          <w:rFonts w:hAnsi="宋体"/>
          <w:kern w:val="0"/>
          <w:sz w:val="24"/>
        </w:rPr>
        <w:t>物质的组成、原子的结构、金属键、离子键、共价键、范德瓦耳斯力、氢键的基本概念</w:t>
      </w:r>
    </w:p>
    <w:p>
      <w:pPr>
        <w:adjustRightInd w:val="0"/>
        <w:snapToGrid w:val="0"/>
        <w:spacing w:line="360" w:lineRule="auto"/>
        <w:jc w:val="left"/>
        <w:rPr>
          <w:sz w:val="24"/>
        </w:rPr>
      </w:pPr>
      <w:r>
        <w:rPr>
          <w:sz w:val="24"/>
        </w:rPr>
        <w:t xml:space="preserve">2. </w:t>
      </w:r>
      <w:r>
        <w:rPr>
          <w:rFonts w:hAnsi="宋体"/>
          <w:sz w:val="24"/>
        </w:rPr>
        <w:t>固体的结构</w:t>
      </w:r>
    </w:p>
    <w:p>
      <w:pPr>
        <w:widowControl/>
        <w:adjustRightInd w:val="0"/>
        <w:snapToGrid w:val="0"/>
        <w:spacing w:line="360" w:lineRule="auto"/>
        <w:ind w:firstLine="480" w:firstLineChars="200"/>
        <w:jc w:val="left"/>
        <w:rPr>
          <w:kern w:val="0"/>
          <w:sz w:val="24"/>
        </w:rPr>
      </w:pPr>
      <w:r>
        <w:rPr>
          <w:rFonts w:hAnsi="宋体"/>
          <w:kern w:val="0"/>
          <w:sz w:val="24"/>
        </w:rPr>
        <w:t>空间点阵和晶胞、晶向指数和晶面指数、晶体的对称性、三种典型的金属晶体结构、晶体的原子堆垛方式和间隙、多晶型性、固溶体、中间相的基本概念及理论。</w:t>
      </w:r>
    </w:p>
    <w:p>
      <w:pPr>
        <w:adjustRightInd w:val="0"/>
        <w:snapToGrid w:val="0"/>
        <w:spacing w:line="360" w:lineRule="auto"/>
        <w:jc w:val="left"/>
        <w:rPr>
          <w:sz w:val="24"/>
        </w:rPr>
      </w:pPr>
      <w:r>
        <w:rPr>
          <w:sz w:val="24"/>
        </w:rPr>
        <w:t xml:space="preserve">3. </w:t>
      </w:r>
      <w:r>
        <w:rPr>
          <w:rFonts w:hAnsi="宋体"/>
          <w:sz w:val="24"/>
        </w:rPr>
        <w:t>晶体缺陷</w:t>
      </w:r>
    </w:p>
    <w:p>
      <w:pPr>
        <w:widowControl/>
        <w:adjustRightInd w:val="0"/>
        <w:snapToGrid w:val="0"/>
        <w:spacing w:line="360" w:lineRule="auto"/>
        <w:ind w:firstLine="480" w:firstLineChars="200"/>
        <w:jc w:val="left"/>
        <w:rPr>
          <w:kern w:val="0"/>
          <w:sz w:val="24"/>
        </w:rPr>
      </w:pPr>
      <w:r>
        <w:rPr>
          <w:rFonts w:hAnsi="宋体"/>
          <w:kern w:val="0"/>
          <w:sz w:val="24"/>
        </w:rPr>
        <w:t>点缺陷的形成、点缺陷的平衡浓度、点缺陷的运动、位错的基本类型和特征、伯氏矢量、位错的运动、位错的弹性性质、位错的生成和增殖、实际晶体结构中的位错、外表面、晶界和亚晶界、孪晶界、相界等基本概念和理论。</w:t>
      </w:r>
    </w:p>
    <w:p>
      <w:pPr>
        <w:widowControl/>
        <w:adjustRightInd w:val="0"/>
        <w:snapToGrid w:val="0"/>
        <w:spacing w:line="360" w:lineRule="auto"/>
        <w:jc w:val="left"/>
        <w:rPr>
          <w:kern w:val="0"/>
          <w:sz w:val="24"/>
        </w:rPr>
      </w:pPr>
      <w:r>
        <w:rPr>
          <w:kern w:val="0"/>
          <w:sz w:val="24"/>
        </w:rPr>
        <w:t xml:space="preserve">4. </w:t>
      </w:r>
      <w:r>
        <w:rPr>
          <w:rFonts w:hAnsi="宋体"/>
          <w:kern w:val="0"/>
          <w:sz w:val="24"/>
        </w:rPr>
        <w:t>固体中原子及分子的运动</w:t>
      </w:r>
    </w:p>
    <w:p>
      <w:pPr>
        <w:widowControl/>
        <w:adjustRightInd w:val="0"/>
        <w:snapToGrid w:val="0"/>
        <w:spacing w:line="360" w:lineRule="auto"/>
        <w:ind w:firstLine="480" w:firstLineChars="200"/>
        <w:jc w:val="left"/>
        <w:rPr>
          <w:kern w:val="0"/>
          <w:sz w:val="24"/>
        </w:rPr>
      </w:pPr>
      <w:r>
        <w:rPr>
          <w:rFonts w:hAnsi="宋体"/>
          <w:kern w:val="0"/>
          <w:sz w:val="24"/>
        </w:rPr>
        <w:t>菲克第一定律、菲克第二定律及其应用，扩散的微观机制、影响扩散的因素等基本概念和理论。</w:t>
      </w:r>
    </w:p>
    <w:p>
      <w:pPr>
        <w:adjustRightInd w:val="0"/>
        <w:snapToGrid w:val="0"/>
        <w:spacing w:line="360" w:lineRule="auto"/>
        <w:jc w:val="left"/>
        <w:rPr>
          <w:sz w:val="24"/>
        </w:rPr>
      </w:pPr>
      <w:r>
        <w:rPr>
          <w:sz w:val="24"/>
        </w:rPr>
        <w:t xml:space="preserve">5. </w:t>
      </w:r>
      <w:r>
        <w:rPr>
          <w:rFonts w:hAnsi="宋体"/>
          <w:sz w:val="24"/>
        </w:rPr>
        <w:t>材料的形变和再结晶</w:t>
      </w:r>
    </w:p>
    <w:p>
      <w:pPr>
        <w:adjustRightInd w:val="0"/>
        <w:snapToGrid w:val="0"/>
        <w:spacing w:line="360" w:lineRule="auto"/>
        <w:ind w:firstLine="480" w:firstLineChars="200"/>
        <w:jc w:val="left"/>
        <w:rPr>
          <w:kern w:val="0"/>
          <w:sz w:val="24"/>
        </w:rPr>
      </w:pPr>
      <w:r>
        <w:rPr>
          <w:rFonts w:hAnsi="宋体"/>
          <w:sz w:val="24"/>
        </w:rPr>
        <w:t>弹性变形的本质、弹性模量</w:t>
      </w:r>
      <w:r>
        <w:rPr>
          <w:rFonts w:hAnsi="宋体"/>
          <w:kern w:val="0"/>
          <w:sz w:val="24"/>
        </w:rPr>
        <w:t>、单晶体的塑性变形、多晶体的塑性变形、</w:t>
      </w:r>
      <w:r>
        <w:rPr>
          <w:kern w:val="0"/>
          <w:sz w:val="24"/>
        </w:rPr>
        <w:t xml:space="preserve"> </w:t>
      </w:r>
      <w:r>
        <w:rPr>
          <w:rFonts w:hAnsi="宋体"/>
          <w:kern w:val="0"/>
          <w:sz w:val="24"/>
        </w:rPr>
        <w:t>合金的塑性变形、塑性变形对材料组织与性能的影响、冷变形金属在加热时的组织与性能变化、回复、再结晶、晶粒长大、再结晶退火后的组织、动态回复与动态再结晶、热加工对组织性能的影响等基本概念和理论。</w:t>
      </w:r>
    </w:p>
    <w:p>
      <w:pPr>
        <w:adjustRightInd w:val="0"/>
        <w:snapToGrid w:val="0"/>
        <w:spacing w:line="360" w:lineRule="auto"/>
        <w:jc w:val="left"/>
        <w:rPr>
          <w:sz w:val="24"/>
        </w:rPr>
      </w:pPr>
      <w:r>
        <w:rPr>
          <w:sz w:val="24"/>
        </w:rPr>
        <w:t xml:space="preserve">6. </w:t>
      </w:r>
      <w:r>
        <w:rPr>
          <w:rFonts w:hAnsi="宋体"/>
          <w:sz w:val="24"/>
        </w:rPr>
        <w:t>单组元相图及纯晶体的凝固</w:t>
      </w:r>
    </w:p>
    <w:p>
      <w:pPr>
        <w:adjustRightInd w:val="0"/>
        <w:snapToGrid w:val="0"/>
        <w:spacing w:line="360" w:lineRule="auto"/>
        <w:ind w:firstLine="480" w:firstLineChars="200"/>
        <w:jc w:val="left"/>
        <w:rPr>
          <w:sz w:val="24"/>
        </w:rPr>
      </w:pPr>
      <w:r>
        <w:rPr>
          <w:rFonts w:hAnsi="宋体"/>
          <w:sz w:val="24"/>
        </w:rPr>
        <w:t>相律、单元系相图、液态结构、形核、晶体长大、凝固组织、凝固后细晶的获得、单晶的制备</w:t>
      </w:r>
      <w:r>
        <w:rPr>
          <w:rFonts w:hAnsi="宋体"/>
          <w:kern w:val="0"/>
          <w:sz w:val="24"/>
        </w:rPr>
        <w:t>等基本概念和理论。</w:t>
      </w:r>
    </w:p>
    <w:p>
      <w:pPr>
        <w:adjustRightInd w:val="0"/>
        <w:snapToGrid w:val="0"/>
        <w:spacing w:line="360" w:lineRule="auto"/>
        <w:jc w:val="left"/>
        <w:rPr>
          <w:sz w:val="24"/>
        </w:rPr>
      </w:pPr>
      <w:r>
        <w:rPr>
          <w:sz w:val="24"/>
        </w:rPr>
        <w:t xml:space="preserve">7. </w:t>
      </w:r>
      <w:r>
        <w:rPr>
          <w:rFonts w:hAnsi="宋体"/>
          <w:sz w:val="24"/>
        </w:rPr>
        <w:t>二元系相图和合金的凝固与制备原理</w:t>
      </w:r>
    </w:p>
    <w:p>
      <w:pPr>
        <w:widowControl/>
        <w:adjustRightInd w:val="0"/>
        <w:snapToGrid w:val="0"/>
        <w:spacing w:line="360" w:lineRule="auto"/>
        <w:ind w:firstLine="480" w:firstLineChars="200"/>
        <w:jc w:val="left"/>
        <w:rPr>
          <w:kern w:val="0"/>
          <w:sz w:val="24"/>
        </w:rPr>
      </w:pPr>
      <w:r>
        <w:rPr>
          <w:rFonts w:hAnsi="宋体"/>
          <w:kern w:val="0"/>
          <w:sz w:val="24"/>
        </w:rPr>
        <w:t>相图的表示和测定方法、多相平衡的公切线原理、匀晶相图和固溶体凝固、共晶相图及其合金凝固、包晶相图及其合金凝固、铁碳合金的组织及其性能等基本概念和理论。</w:t>
      </w:r>
    </w:p>
    <w:p>
      <w:pPr>
        <w:widowControl/>
        <w:adjustRightInd w:val="0"/>
        <w:snapToGrid w:val="0"/>
        <w:spacing w:line="360" w:lineRule="auto"/>
        <w:ind w:firstLine="480" w:firstLineChars="200"/>
        <w:jc w:val="left"/>
        <w:rPr>
          <w:kern w:val="0"/>
          <w:sz w:val="24"/>
        </w:rPr>
      </w:pPr>
      <w:r>
        <w:rPr>
          <w:rFonts w:hAnsi="宋体"/>
          <w:kern w:val="0"/>
          <w:sz w:val="24"/>
        </w:rPr>
        <w:t>杠杆法则及相图中平衡相相对量的计算。</w:t>
      </w:r>
    </w:p>
    <w:p>
      <w:pPr>
        <w:widowControl/>
        <w:adjustRightInd w:val="0"/>
        <w:snapToGrid w:val="0"/>
        <w:spacing w:line="360" w:lineRule="auto"/>
        <w:jc w:val="left"/>
        <w:rPr>
          <w:kern w:val="0"/>
          <w:sz w:val="24"/>
        </w:rPr>
      </w:pPr>
      <w:r>
        <w:rPr>
          <w:kern w:val="0"/>
          <w:sz w:val="24"/>
        </w:rPr>
        <w:t xml:space="preserve">8. </w:t>
      </w:r>
      <w:r>
        <w:rPr>
          <w:rFonts w:hAnsi="宋体"/>
          <w:kern w:val="0"/>
          <w:sz w:val="24"/>
        </w:rPr>
        <w:t>三元相图</w:t>
      </w:r>
    </w:p>
    <w:p>
      <w:pPr>
        <w:widowControl/>
        <w:adjustRightInd w:val="0"/>
        <w:snapToGrid w:val="0"/>
        <w:spacing w:line="360" w:lineRule="auto"/>
        <w:ind w:firstLine="480" w:firstLineChars="200"/>
        <w:jc w:val="left"/>
        <w:rPr>
          <w:kern w:val="0"/>
          <w:sz w:val="24"/>
        </w:rPr>
      </w:pPr>
      <w:r>
        <w:rPr>
          <w:rFonts w:hAnsi="宋体"/>
          <w:kern w:val="0"/>
          <w:sz w:val="24"/>
        </w:rPr>
        <w:t>三元相图的成分表示与杠杆定律、三元相图的截面图和投影图、三元共晶相图分析等基本概念和理论。</w:t>
      </w: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4A"/>
    <w:rsid w:val="000306D2"/>
    <w:rsid w:val="00032418"/>
    <w:rsid w:val="000638C5"/>
    <w:rsid w:val="00073CBC"/>
    <w:rsid w:val="00073E11"/>
    <w:rsid w:val="00074786"/>
    <w:rsid w:val="00086FF1"/>
    <w:rsid w:val="00092D8A"/>
    <w:rsid w:val="000B4FC7"/>
    <w:rsid w:val="000B5431"/>
    <w:rsid w:val="000C11D0"/>
    <w:rsid w:val="001101CB"/>
    <w:rsid w:val="0011037B"/>
    <w:rsid w:val="001549D5"/>
    <w:rsid w:val="00190124"/>
    <w:rsid w:val="001A54C5"/>
    <w:rsid w:val="001B3FDE"/>
    <w:rsid w:val="001C4763"/>
    <w:rsid w:val="001D0617"/>
    <w:rsid w:val="001D4298"/>
    <w:rsid w:val="001E472B"/>
    <w:rsid w:val="001F03D5"/>
    <w:rsid w:val="001F73CC"/>
    <w:rsid w:val="002174A7"/>
    <w:rsid w:val="00234022"/>
    <w:rsid w:val="00251295"/>
    <w:rsid w:val="00254F05"/>
    <w:rsid w:val="0027039D"/>
    <w:rsid w:val="00275079"/>
    <w:rsid w:val="0028158D"/>
    <w:rsid w:val="002859E5"/>
    <w:rsid w:val="00290CB8"/>
    <w:rsid w:val="002A4A0C"/>
    <w:rsid w:val="002B2A16"/>
    <w:rsid w:val="002B66B9"/>
    <w:rsid w:val="00304A35"/>
    <w:rsid w:val="00306B8C"/>
    <w:rsid w:val="003216BC"/>
    <w:rsid w:val="00344170"/>
    <w:rsid w:val="00355D20"/>
    <w:rsid w:val="0036002B"/>
    <w:rsid w:val="003702FA"/>
    <w:rsid w:val="0037715E"/>
    <w:rsid w:val="00390AE6"/>
    <w:rsid w:val="0039113A"/>
    <w:rsid w:val="003A76F9"/>
    <w:rsid w:val="003D1C21"/>
    <w:rsid w:val="003E5306"/>
    <w:rsid w:val="004023B6"/>
    <w:rsid w:val="00404B4C"/>
    <w:rsid w:val="00430B3F"/>
    <w:rsid w:val="0043395B"/>
    <w:rsid w:val="00434CFF"/>
    <w:rsid w:val="00435EB0"/>
    <w:rsid w:val="00445495"/>
    <w:rsid w:val="00453F1A"/>
    <w:rsid w:val="004703DE"/>
    <w:rsid w:val="004768E1"/>
    <w:rsid w:val="00492C87"/>
    <w:rsid w:val="004A57DD"/>
    <w:rsid w:val="004B124C"/>
    <w:rsid w:val="004E59B8"/>
    <w:rsid w:val="004F648F"/>
    <w:rsid w:val="00504930"/>
    <w:rsid w:val="00541162"/>
    <w:rsid w:val="00547B4C"/>
    <w:rsid w:val="00586CD1"/>
    <w:rsid w:val="005B0136"/>
    <w:rsid w:val="005B2955"/>
    <w:rsid w:val="005D5D88"/>
    <w:rsid w:val="005E604F"/>
    <w:rsid w:val="005E7D14"/>
    <w:rsid w:val="005E7FF5"/>
    <w:rsid w:val="005F3158"/>
    <w:rsid w:val="005F7F14"/>
    <w:rsid w:val="00605635"/>
    <w:rsid w:val="006314D5"/>
    <w:rsid w:val="0063715D"/>
    <w:rsid w:val="006541D8"/>
    <w:rsid w:val="00685F54"/>
    <w:rsid w:val="006B062D"/>
    <w:rsid w:val="006D46B7"/>
    <w:rsid w:val="006E700B"/>
    <w:rsid w:val="006E7021"/>
    <w:rsid w:val="00700BE3"/>
    <w:rsid w:val="007074F7"/>
    <w:rsid w:val="00737CDA"/>
    <w:rsid w:val="0077691F"/>
    <w:rsid w:val="007871D6"/>
    <w:rsid w:val="007A7E82"/>
    <w:rsid w:val="007D1422"/>
    <w:rsid w:val="007F141D"/>
    <w:rsid w:val="007F56D8"/>
    <w:rsid w:val="007F7502"/>
    <w:rsid w:val="00803C3F"/>
    <w:rsid w:val="00813687"/>
    <w:rsid w:val="00890AC4"/>
    <w:rsid w:val="00896BD8"/>
    <w:rsid w:val="00896E65"/>
    <w:rsid w:val="008E46B4"/>
    <w:rsid w:val="008F354F"/>
    <w:rsid w:val="008F423E"/>
    <w:rsid w:val="009079B4"/>
    <w:rsid w:val="009240CA"/>
    <w:rsid w:val="00937FA1"/>
    <w:rsid w:val="0094706E"/>
    <w:rsid w:val="00970377"/>
    <w:rsid w:val="00996CF9"/>
    <w:rsid w:val="0099702F"/>
    <w:rsid w:val="009B6B31"/>
    <w:rsid w:val="009D0F94"/>
    <w:rsid w:val="009D4130"/>
    <w:rsid w:val="009D4545"/>
    <w:rsid w:val="009D6C06"/>
    <w:rsid w:val="009E548D"/>
    <w:rsid w:val="00A04D2C"/>
    <w:rsid w:val="00A12808"/>
    <w:rsid w:val="00A5564A"/>
    <w:rsid w:val="00A60863"/>
    <w:rsid w:val="00AB00DE"/>
    <w:rsid w:val="00AB47FD"/>
    <w:rsid w:val="00AC724D"/>
    <w:rsid w:val="00AC741B"/>
    <w:rsid w:val="00AF4D2A"/>
    <w:rsid w:val="00B04DED"/>
    <w:rsid w:val="00B10269"/>
    <w:rsid w:val="00B133AC"/>
    <w:rsid w:val="00B309F3"/>
    <w:rsid w:val="00B777E1"/>
    <w:rsid w:val="00B83D5D"/>
    <w:rsid w:val="00BA2B1E"/>
    <w:rsid w:val="00BB2BE0"/>
    <w:rsid w:val="00BB35EC"/>
    <w:rsid w:val="00BE28A5"/>
    <w:rsid w:val="00BF6B7C"/>
    <w:rsid w:val="00BF7A54"/>
    <w:rsid w:val="00C1015F"/>
    <w:rsid w:val="00C76CB8"/>
    <w:rsid w:val="00CB609E"/>
    <w:rsid w:val="00CF3D55"/>
    <w:rsid w:val="00D1358A"/>
    <w:rsid w:val="00D16285"/>
    <w:rsid w:val="00D80B17"/>
    <w:rsid w:val="00DA5ADA"/>
    <w:rsid w:val="00DC42EA"/>
    <w:rsid w:val="00DF4BCD"/>
    <w:rsid w:val="00DF59C6"/>
    <w:rsid w:val="00E13FDC"/>
    <w:rsid w:val="00E21ECB"/>
    <w:rsid w:val="00E24E4E"/>
    <w:rsid w:val="00E31C97"/>
    <w:rsid w:val="00E3242F"/>
    <w:rsid w:val="00E44B55"/>
    <w:rsid w:val="00E51055"/>
    <w:rsid w:val="00E54912"/>
    <w:rsid w:val="00E60093"/>
    <w:rsid w:val="00E62D44"/>
    <w:rsid w:val="00E648CE"/>
    <w:rsid w:val="00E673BC"/>
    <w:rsid w:val="00E8227C"/>
    <w:rsid w:val="00E97DCE"/>
    <w:rsid w:val="00EE3363"/>
    <w:rsid w:val="00F21DCD"/>
    <w:rsid w:val="00F26EFC"/>
    <w:rsid w:val="00F51A0D"/>
    <w:rsid w:val="00FA1FA8"/>
    <w:rsid w:val="00FA2875"/>
    <w:rsid w:val="00FA48A1"/>
    <w:rsid w:val="00FD3943"/>
    <w:rsid w:val="042C0292"/>
    <w:rsid w:val="06F80C44"/>
    <w:rsid w:val="0A3C3699"/>
    <w:rsid w:val="124162BA"/>
    <w:rsid w:val="133443EE"/>
    <w:rsid w:val="142F7E0F"/>
    <w:rsid w:val="178D7FB0"/>
    <w:rsid w:val="239038BE"/>
    <w:rsid w:val="24944763"/>
    <w:rsid w:val="2AC22F51"/>
    <w:rsid w:val="3A4319E7"/>
    <w:rsid w:val="40B66A4C"/>
    <w:rsid w:val="4F106A21"/>
    <w:rsid w:val="4F8D54F3"/>
    <w:rsid w:val="502E744A"/>
    <w:rsid w:val="52C156C9"/>
    <w:rsid w:val="592752A0"/>
    <w:rsid w:val="5A174B09"/>
    <w:rsid w:val="60911EDD"/>
    <w:rsid w:val="788500B8"/>
    <w:rsid w:val="7A0A67A5"/>
    <w:rsid w:val="7CB54E92"/>
    <w:rsid w:val="7D034B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20"/>
    <w:uiPriority w:val="0"/>
    <w:pPr>
      <w:ind w:left="100" w:leftChars="2500"/>
    </w:pPr>
  </w:style>
  <w:style w:type="paragraph" w:styleId="3">
    <w:name w:val="Balloon Text"/>
    <w:basedOn w:val="1"/>
    <w:link w:val="16"/>
    <w:uiPriority w:val="0"/>
    <w:rPr>
      <w:sz w:val="18"/>
      <w:szCs w:val="18"/>
    </w:rPr>
  </w:style>
  <w:style w:type="paragraph" w:styleId="4">
    <w:name w:val="footer"/>
    <w:basedOn w:val="1"/>
    <w:link w:val="19"/>
    <w:uiPriority w:val="99"/>
    <w:pPr>
      <w:tabs>
        <w:tab w:val="center" w:pos="4153"/>
        <w:tab w:val="right" w:pos="8306"/>
      </w:tabs>
      <w:snapToGrid w:val="0"/>
      <w:jc w:val="left"/>
    </w:pPr>
    <w:rPr>
      <w:sz w:val="18"/>
      <w:szCs w:val="18"/>
    </w:rPr>
  </w:style>
  <w:style w:type="paragraph" w:styleId="5">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table" w:styleId="8">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paragraph" w:styleId="11">
    <w:name w:val="List Paragraph"/>
    <w:basedOn w:val="1"/>
    <w:qFormat/>
    <w:uiPriority w:val="34"/>
    <w:pPr>
      <w:ind w:firstLine="420" w:firstLineChars="200"/>
    </w:pPr>
  </w:style>
  <w:style w:type="paragraph" w:customStyle="1" w:styleId="12">
    <w:name w:val="Char Char2"/>
    <w:basedOn w:val="1"/>
    <w:semiHidden/>
    <w:uiPriority w:val="0"/>
    <w:pPr>
      <w:snapToGrid w:val="0"/>
      <w:spacing w:before="30" w:beforeLines="30" w:line="300" w:lineRule="auto"/>
      <w:ind w:firstLine="200" w:firstLineChars="200"/>
    </w:pPr>
    <w:rPr>
      <w:szCs w:val="20"/>
    </w:rPr>
  </w:style>
  <w:style w:type="paragraph" w:customStyle="1" w:styleId="13">
    <w:name w:val=" Char Char1 Char Char"/>
    <w:basedOn w:val="1"/>
    <w:uiPriority w:val="0"/>
    <w:rPr>
      <w:rFonts w:ascii="仿宋_GB2312" w:eastAsia="仿宋_GB2312"/>
      <w:b/>
      <w:sz w:val="32"/>
      <w:szCs w:val="32"/>
    </w:rPr>
  </w:style>
  <w:style w:type="paragraph" w:customStyle="1" w:styleId="14">
    <w:name w:val="Char"/>
    <w:basedOn w:val="1"/>
    <w:semiHidden/>
    <w:uiPriority w:val="0"/>
    <w:pPr>
      <w:snapToGrid w:val="0"/>
      <w:spacing w:before="30" w:beforeLines="30" w:line="300" w:lineRule="auto"/>
      <w:ind w:firstLine="200" w:firstLineChars="200"/>
    </w:pPr>
    <w:rPr>
      <w:szCs w:val="20"/>
    </w:rPr>
  </w:style>
  <w:style w:type="character" w:customStyle="1" w:styleId="15">
    <w:name w:val="font01"/>
    <w:uiPriority w:val="0"/>
    <w:rPr>
      <w:rFonts w:hint="eastAsia" w:ascii="宋体" w:hAnsi="宋体" w:eastAsia="宋体" w:cs="宋体"/>
      <w:color w:val="000000"/>
      <w:sz w:val="18"/>
      <w:szCs w:val="18"/>
      <w:u w:val="none"/>
    </w:rPr>
  </w:style>
  <w:style w:type="character" w:customStyle="1" w:styleId="16">
    <w:name w:val="批注框文本 Char"/>
    <w:link w:val="3"/>
    <w:uiPriority w:val="0"/>
    <w:rPr>
      <w:kern w:val="2"/>
      <w:sz w:val="18"/>
      <w:szCs w:val="18"/>
    </w:rPr>
  </w:style>
  <w:style w:type="character" w:customStyle="1" w:styleId="17">
    <w:name w:val="页眉 Char"/>
    <w:link w:val="5"/>
    <w:uiPriority w:val="0"/>
    <w:rPr>
      <w:kern w:val="2"/>
      <w:sz w:val="18"/>
      <w:szCs w:val="18"/>
    </w:rPr>
  </w:style>
  <w:style w:type="character" w:customStyle="1" w:styleId="18">
    <w:name w:val="批注框文本 字符"/>
    <w:uiPriority w:val="0"/>
    <w:rPr>
      <w:kern w:val="2"/>
      <w:sz w:val="18"/>
      <w:szCs w:val="18"/>
    </w:rPr>
  </w:style>
  <w:style w:type="character" w:customStyle="1" w:styleId="19">
    <w:name w:val="页脚 Char"/>
    <w:link w:val="4"/>
    <w:uiPriority w:val="99"/>
    <w:rPr>
      <w:kern w:val="2"/>
      <w:sz w:val="18"/>
      <w:szCs w:val="18"/>
    </w:rPr>
  </w:style>
  <w:style w:type="character" w:customStyle="1" w:styleId="20">
    <w:name w:val="日期 Char"/>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150</Words>
  <Characters>857</Characters>
  <Lines>7</Lines>
  <Paragraphs>2</Paragraphs>
  <TotalTime>0</TotalTime>
  <ScaleCrop>false</ScaleCrop>
  <LinksUpToDate>false</LinksUpToDate>
  <CharactersWithSpaces>1005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2019-09-15T01:12:00Z</dcterms:created>
  <dc:creator>微软中国</dc:creator>
  <cp:lastModifiedBy>Administrator</cp:lastModifiedBy>
  <cp:lastPrinted>2018-06-26T07:43:00Z</cp:lastPrinted>
  <dcterms:modified xsi:type="dcterms:W3CDTF">2021-09-18T06:43:56Z</dcterms:modified>
  <dc:title>关于编制2017年硕士研究生招生简章和专业目录的通知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