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bCs/>
          <w:sz w:val="28"/>
          <w:u w:val="single"/>
        </w:rPr>
        <w:t xml:space="preserve">学院：理学院                       加试科目：光学         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基本要求：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1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>熟练掌握几何光学的基本定律，了解费马原理，掌握完善成像条件。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2 熟练掌握共轴球面系统、平面系统和理想光学系统的基本特征，掌握基点、焦距、放大率、物像关系、拉赫不变量等概念及相关计算并能熟练作图，掌握光组组合的计算与作图方法；掌握光的色散原理和光学材料的描述参数。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3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>熟练掌握光学系统的孔径光阑及入瞳出瞳、视场光阑、渐晕光阑的概念、判断、作用和计算方法，光学系统景深及远心光学系统的基本特征。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4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>熟练掌握光度学各物理量的意义和国际标准量纲体系，掌握光学系统传输光能的特征。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5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>熟练掌握各种几何像差的概念和基本特征。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6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>熟练掌握各种典型光学系统的成像原理、光束限制、放大倍率、分辨本领，掌握显微镜、投影系统及其照明系统、望远镜和转向系统的关系，能够解决典型光学系统的外形尺寸计算问题。</w:t>
      </w:r>
    </w:p>
    <w:p>
      <w:pPr>
        <w:rPr>
          <w:rFonts w:hint="eastAsia"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8E"/>
    <w:rsid w:val="0015058E"/>
    <w:rsid w:val="001B2DF4"/>
    <w:rsid w:val="003F3A2E"/>
    <w:rsid w:val="00483EC6"/>
    <w:rsid w:val="006D4014"/>
    <w:rsid w:val="00926389"/>
    <w:rsid w:val="00B9315A"/>
    <w:rsid w:val="00ED1CE3"/>
    <w:rsid w:val="00F07DEE"/>
    <w:rsid w:val="2FD27F12"/>
    <w:rsid w:val="4A774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 Char"/>
    <w:basedOn w:val="1"/>
    <w:uiPriority w:val="0"/>
    <w:rPr>
      <w:rFonts w:ascii="Times New Roman" w:hAnsi="Times New Roman" w:eastAsia="宋体"/>
      <w:szCs w:val="24"/>
    </w:rPr>
  </w:style>
  <w:style w:type="character" w:customStyle="1" w:styleId="8">
    <w:name w:val="页眉 字符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2020-01-14T04:47:00Z</dcterms:created>
  <cp:lastModifiedBy>Administrator</cp:lastModifiedBy>
  <dcterms:modified xsi:type="dcterms:W3CDTF">2021-09-16T06:58:58Z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