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b/>
          <w:sz w:val="32"/>
          <w:szCs w:val="32"/>
        </w:rPr>
        <w:t>华侨大学硕士研究生招生考试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初试自命题科目考试大纲</w:t>
      </w:r>
    </w:p>
    <w:p>
      <w:pPr>
        <w:spacing w:before="312" w:beforeLines="100" w:after="31" w:afterLines="10" w:line="360" w:lineRule="auto"/>
        <w:jc w:val="left"/>
        <w:rPr>
          <w:rFonts w:hint="eastAsia"/>
          <w:szCs w:val="21"/>
          <w:u w:val="single"/>
        </w:rPr>
      </w:pPr>
      <w:r>
        <w:rPr>
          <w:rFonts w:hint="eastAsia"/>
          <w:b/>
          <w:szCs w:val="21"/>
        </w:rPr>
        <w:t xml:space="preserve">招生学院：  </w:t>
      </w:r>
      <w:r>
        <w:rPr>
          <w:rFonts w:hint="eastAsia"/>
          <w:szCs w:val="21"/>
          <w:u w:val="single"/>
        </w:rPr>
        <w:t xml:space="preserve"> 化工学院   </w:t>
      </w:r>
    </w:p>
    <w:p>
      <w:pPr>
        <w:spacing w:before="312" w:beforeLines="100" w:after="31" w:afterLines="10"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Cs w:val="21"/>
        </w:rPr>
        <w:t xml:space="preserve">招生专业：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微生物学、生物化学与分子生物学  </w:t>
      </w: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生物化学（化工学院） </w:t>
      </w:r>
      <w:r>
        <w:rPr>
          <w:rFonts w:hint="eastAsia"/>
          <w:b/>
          <w:szCs w:val="21"/>
          <w:u w:val="single"/>
        </w:rPr>
        <w:t xml:space="preserve">       </w:t>
      </w:r>
      <w:r>
        <w:rPr>
          <w:rFonts w:hint="eastAsia"/>
          <w:b/>
          <w:sz w:val="24"/>
        </w:rPr>
        <w:t xml:space="preserve"> </w:t>
      </w:r>
    </w:p>
    <w:p>
      <w:pPr>
        <w:numPr>
          <w:ilvl w:val="0"/>
          <w:numId w:val="1"/>
        </w:numPr>
        <w:spacing w:before="312" w:beforeLines="100" w:after="31" w:afterLines="10" w:line="360" w:lineRule="auto"/>
        <w:rPr>
          <w:rFonts w:hint="eastAsia"/>
          <w:b/>
          <w:szCs w:val="21"/>
        </w:rPr>
      </w:pPr>
      <w:r>
        <w:rPr>
          <w:rFonts w:hint="eastAsia"/>
          <w:b/>
          <w:sz w:val="24"/>
        </w:rPr>
        <w:t xml:space="preserve">考试形式与试卷结构 </w:t>
      </w:r>
      <w:r>
        <w:rPr>
          <w:rFonts w:hint="eastAsia"/>
          <w:b/>
          <w:szCs w:val="21"/>
        </w:rPr>
        <w:t xml:space="preserve">   </w:t>
      </w:r>
    </w:p>
    <w:p>
      <w:pPr>
        <w:pStyle w:val="10"/>
        <w:numPr>
          <w:ilvl w:val="0"/>
          <w:numId w:val="2"/>
        </w:numPr>
        <w:spacing w:before="31" w:beforeLines="10" w:after="31" w:afterLines="10" w:line="360" w:lineRule="auto"/>
        <w:ind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>
      <w:pPr>
        <w:pStyle w:val="10"/>
        <w:spacing w:before="31" w:beforeLines="10" w:after="31" w:afterLines="10" w:line="360" w:lineRule="auto"/>
        <w:ind w:firstLine="0" w:firstLineChars="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b/>
          <w:bCs/>
          <w:szCs w:val="21"/>
        </w:rPr>
        <w:t xml:space="preserve">   </w:t>
      </w:r>
      <w:r>
        <w:rPr>
          <w:rFonts w:hint="eastAsia" w:ascii="楷体" w:hAnsi="楷体" w:eastAsia="楷体" w:cs="楷体"/>
          <w:b/>
          <w:bCs/>
          <w:szCs w:val="21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</w:rPr>
        <w:t xml:space="preserve">  </w:t>
      </w:r>
      <w:r>
        <w:rPr>
          <w:rFonts w:hint="eastAsia" w:ascii="新宋体" w:hAnsi="新宋体" w:eastAsia="新宋体"/>
          <w:szCs w:val="21"/>
        </w:rPr>
        <w:t>本试卷满分为150分，考试时间为180分钟。</w:t>
      </w:r>
    </w:p>
    <w:p>
      <w:pPr>
        <w:pStyle w:val="9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 xml:space="preserve">    （二）答题方式</w:t>
      </w:r>
    </w:p>
    <w:p>
      <w:pPr>
        <w:pStyle w:val="9"/>
        <w:spacing w:before="31" w:beforeLines="10" w:after="31" w:afterLines="10" w:line="360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答题方式为闭卷、笔试。试卷由试题和答题纸组成；答案必须写在答题纸（由考点提供）相应的位置上。</w:t>
      </w:r>
    </w:p>
    <w:p>
      <w:pPr>
        <w:pStyle w:val="9"/>
        <w:spacing w:before="31" w:beforeLines="10" w:after="31" w:afterLines="10" w:line="360" w:lineRule="auto"/>
        <w:ind w:firstLine="422"/>
        <w:rPr>
          <w:rFonts w:hint="eastAsia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（三）试卷内容结构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考试内容主要包括生物化学大分子(30%)，物质代谢途径(35%)，遗传信息的传递 (35%)。</w:t>
      </w:r>
    </w:p>
    <w:p>
      <w:pPr>
        <w:pStyle w:val="9"/>
        <w:spacing w:before="31" w:beforeLines="10" w:after="31" w:afterLines="10" w:line="360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（四）试卷题型结构</w:t>
      </w:r>
    </w:p>
    <w:p>
      <w:pPr>
        <w:spacing w:line="360" w:lineRule="auto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1.名词解释；2.问答题。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课程考试的目的在于</w:t>
      </w:r>
      <w:r>
        <w:rPr>
          <w:rFonts w:ascii="宋体" w:hAnsi="宋体" w:cs="Arial"/>
          <w:szCs w:val="21"/>
        </w:rPr>
        <w:t>测试考生对</w:t>
      </w:r>
      <w:r>
        <w:rPr>
          <w:rFonts w:hint="eastAsia" w:ascii="宋体" w:hAnsi="宋体" w:cs="Arial"/>
          <w:szCs w:val="21"/>
        </w:rPr>
        <w:t>于生物化学相关</w:t>
      </w:r>
      <w:r>
        <w:rPr>
          <w:rFonts w:ascii="宋体" w:hAnsi="宋体" w:cs="Arial"/>
          <w:szCs w:val="21"/>
        </w:rPr>
        <w:t>的</w:t>
      </w:r>
      <w:r>
        <w:rPr>
          <w:rFonts w:hint="eastAsia" w:ascii="宋体" w:hAnsi="宋体" w:cs="Arial"/>
          <w:szCs w:val="21"/>
        </w:rPr>
        <w:t>基本概念、</w:t>
      </w:r>
      <w:r>
        <w:rPr>
          <w:rFonts w:ascii="宋体" w:hAnsi="宋体" w:cs="Arial"/>
          <w:szCs w:val="21"/>
        </w:rPr>
        <w:t>基本</w:t>
      </w:r>
      <w:r>
        <w:rPr>
          <w:rFonts w:hint="eastAsia" w:ascii="宋体" w:hAnsi="宋体" w:cs="Arial"/>
          <w:szCs w:val="21"/>
        </w:rPr>
        <w:t>理论、基础知识</w:t>
      </w:r>
      <w:r>
        <w:rPr>
          <w:rFonts w:ascii="宋体" w:hAnsi="宋体" w:cs="Arial"/>
          <w:szCs w:val="21"/>
        </w:rPr>
        <w:t>的</w:t>
      </w:r>
      <w:r>
        <w:rPr>
          <w:rFonts w:hint="eastAsia" w:ascii="宋体" w:hAnsi="宋体" w:cs="Arial"/>
          <w:szCs w:val="21"/>
        </w:rPr>
        <w:t>掌握情况以及综合运用分析和解决生物化学常见问题的能力</w:t>
      </w:r>
      <w:r>
        <w:rPr>
          <w:rFonts w:ascii="宋体" w:hAnsi="宋体" w:cs="Arial"/>
          <w:szCs w:val="21"/>
        </w:rPr>
        <w:t>。</w:t>
      </w:r>
    </w:p>
    <w:p>
      <w:pPr>
        <w:numPr>
          <w:ilvl w:val="0"/>
          <w:numId w:val="3"/>
        </w:num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考查范围或考试内容概要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第一部分 生物化学大分子 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1.糖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单糖（尤其是葡萄糖的分子结构）；几种多糖（淀粉，糖原，纤维素）的化学组成；单糖（尤其是葡萄糖）的D、L型，异头物，差向异构的定义；多糖的高级结构与生物学意义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2.脂质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脂酰甘油类及磷脂的化学组成；脂类的生物学功能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3.蛋白质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组成蛋白质的20种常见氨基酸的分类、化学结构、酸碱、性质及物化性质；蛋白质的肽和肽键；蛋白质的肽键性质；蛋白质高级结构，尤其是超二级结构，结构域和三级结构，四级结构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4．酶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酶的化学本质；酶的分类和命名；酶促反应动力学（尤其是米氏公式的导出，米氏常数的意义，米氏常数的求法，各种因素对酶促反应速度的影响）；酶促反应动力学的导出；酶的作用机理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5.维生素与辅酶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与代谢有关的维生素及其辅酶的化学结构及生物学功能；与代谢有关的维生素及辅酶的作用机制。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6.核酸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核苷酸的组成；DNA的一级及空间结构；核酸紫外吸收性质；核酸的变性、复性与杂交；DNA的空间结构；DNA的生物学功能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7.生物膜的组成与结构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组成生物膜的主要物质和作用；生物膜组成物质的结构特点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第二部分 物质代谢途径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1.生物氧化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生物氧化，氧化磷酸化，呼吸链的概念；ATP在生物氧化中的重要作用；NADH及FADH2呼吸链组成，传递体的顺序；氧化磷酸化中ATP的生成部位及数量；氧化磷酸化作用的化学渗透学说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2.糖代谢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酵解途径；三羧酸循环的途径；计算酵解途径中ATP的量及能量利用效率；计算三羧酸循环中ATP的量及能量利用效率；淀粉及糖原的合成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3.脂类代谢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饱和脂肪酸的β-氧化作用；不饱和脂肪酸的氧化；脂肪酸β-氧化过程中能量利用效率计算；十六碳饱和脂肪酸（软脂酸）合成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4.蛋白质降解和氨基酸的分解代谢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氨基酸的氧化脱氨基作用；氨基酸的非氧化脱氨基作用；氨基酸合成途径的类型，氨基酸与一碳单位；氨基酸碳骨架的氧化途径；一碳单位概念，一碳单位的产生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5.核苷酸的降解和核苷酸代谢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嘌呤和嘧啶的分解；嘌呤核苷酸的从头合成；嘧啶核苷酸的合成；核苷酸从头合成的调节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第三部分 遗传信息的传递与分子机制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1.DNA的生物合成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ascii="宋体" w:hAnsi="宋体" w:cs="Arial"/>
          <w:szCs w:val="21"/>
        </w:rPr>
        <w:t>DNA</w:t>
      </w:r>
      <w:r>
        <w:rPr>
          <w:rFonts w:hint="eastAsia" w:ascii="宋体" w:hAnsi="宋体" w:cs="Arial"/>
          <w:szCs w:val="21"/>
        </w:rPr>
        <w:t>的复制机制；真核生物和原核生物DNA复制的差异；DNA的损伤与修复；DNA复制的起点和有关复制的酶；DNA损伤修复的机制。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2.RNA的生物合成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RNA转录的起始、延伸和终止；RNA转录后的加工过程；</w:t>
      </w:r>
      <w:r>
        <w:rPr>
          <w:rFonts w:ascii="宋体" w:hAnsi="宋体" w:cs="Arial"/>
          <w:szCs w:val="21"/>
        </w:rPr>
        <w:t>RNA</w:t>
      </w:r>
      <w:r>
        <w:rPr>
          <w:rFonts w:hint="eastAsia" w:ascii="宋体" w:hAnsi="宋体" w:cs="Arial"/>
          <w:szCs w:val="21"/>
        </w:rPr>
        <w:t>的生物合成的调节机制；真核生物和原核生物RNA加工的差异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3.蛋白质的生物合成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遗传密码的概念、基本特征；蛋白质的翻译步骤；蛋白质翻译后的修饰；不同物种遗传密码的差异；蛋白质翻译的起始、延伸和终止；蛋白质翻译后的运输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4.细胞代谢与基因表达调控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代谢途径的相互作用；酶活性的调节；真核生物与原核生物基因的表达调控；基因表达调节的水平与差异</w:t>
      </w:r>
      <w:r>
        <w:rPr>
          <w:rFonts w:ascii="宋体" w:hAnsi="宋体" w:cs="Arial"/>
          <w:szCs w:val="21"/>
        </w:rPr>
        <w:t>　　</w:t>
      </w:r>
    </w:p>
    <w:p>
      <w:pPr>
        <w:numPr>
          <w:ilvl w:val="0"/>
          <w:numId w:val="3"/>
        </w:numPr>
        <w:spacing w:before="31" w:beforeLines="10" w:after="31" w:afterLines="10" w:line="360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参考教材或主要参考书：</w:t>
      </w:r>
    </w:p>
    <w:p>
      <w:pPr>
        <w:snapToGrid w:val="0"/>
        <w:spacing w:line="360" w:lineRule="auto"/>
        <w:rPr>
          <w:rFonts w:hint="eastAsia" w:ascii="宋体" w:hAnsi="宋体" w:cs="宋体"/>
          <w:spacing w:val="-2"/>
          <w:szCs w:val="21"/>
        </w:rPr>
      </w:pPr>
      <w:bookmarkStart w:id="0" w:name="OLE_LINK1"/>
      <w:r>
        <w:rPr>
          <w:rFonts w:hint="eastAsia" w:ascii="宋体" w:hAnsi="宋体" w:cs="宋体"/>
          <w:spacing w:val="-2"/>
          <w:szCs w:val="21"/>
        </w:rPr>
        <w:t xml:space="preserve">    </w:t>
      </w:r>
      <w:bookmarkEnd w:id="0"/>
      <w:r>
        <w:rPr>
          <w:rFonts w:hint="eastAsia" w:ascii="宋体" w:hAnsi="宋体" w:cs="宋体"/>
          <w:spacing w:val="-2"/>
          <w:szCs w:val="21"/>
        </w:rPr>
        <w:t xml:space="preserve">    《生物化学》，王镜岩,朱圣庚，徐长法，高等教育出版社，第3版</w:t>
      </w:r>
      <w:r>
        <w:rPr>
          <w:rFonts w:ascii="宋体" w:hAnsi="宋体" w:cs="宋体"/>
          <w:spacing w:val="-2"/>
          <w:szCs w:val="21"/>
        </w:rPr>
        <w:t>,20</w:t>
      </w:r>
      <w:r>
        <w:rPr>
          <w:rFonts w:hint="eastAsia" w:ascii="宋体" w:hAnsi="宋体" w:cs="宋体"/>
          <w:spacing w:val="-2"/>
          <w:szCs w:val="21"/>
        </w:rPr>
        <w:t>07年。</w:t>
      </w:r>
    </w:p>
    <w:p>
      <w:pPr>
        <w:spacing w:before="31" w:beforeLines="10" w:after="31" w:afterLines="10" w:line="360" w:lineRule="auto"/>
        <w:ind w:left="420" w:leftChars="200" w:firstLine="420"/>
        <w:rPr>
          <w:rFonts w:hint="eastAsia"/>
          <w:szCs w:val="21"/>
        </w:rPr>
      </w:pP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3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FBF9"/>
    <w:multiLevelType w:val="singleLevel"/>
    <w:tmpl w:val="5907FBF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5907FE2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A5"/>
    <w:rsid w:val="00007DD8"/>
    <w:rsid w:val="00033309"/>
    <w:rsid w:val="00054E01"/>
    <w:rsid w:val="00061B4F"/>
    <w:rsid w:val="000762FE"/>
    <w:rsid w:val="00080730"/>
    <w:rsid w:val="0008607A"/>
    <w:rsid w:val="00097EDA"/>
    <w:rsid w:val="000C25FD"/>
    <w:rsid w:val="000E6981"/>
    <w:rsid w:val="001640BE"/>
    <w:rsid w:val="001848FB"/>
    <w:rsid w:val="0019067F"/>
    <w:rsid w:val="00197215"/>
    <w:rsid w:val="001B1D70"/>
    <w:rsid w:val="001C165A"/>
    <w:rsid w:val="001C2F19"/>
    <w:rsid w:val="001E149A"/>
    <w:rsid w:val="0020731D"/>
    <w:rsid w:val="0023282D"/>
    <w:rsid w:val="0023391B"/>
    <w:rsid w:val="0024344A"/>
    <w:rsid w:val="002A5C7C"/>
    <w:rsid w:val="002E0158"/>
    <w:rsid w:val="00311038"/>
    <w:rsid w:val="0033096F"/>
    <w:rsid w:val="003704C9"/>
    <w:rsid w:val="00375432"/>
    <w:rsid w:val="003852C3"/>
    <w:rsid w:val="003A4FD9"/>
    <w:rsid w:val="003B48F8"/>
    <w:rsid w:val="003C498A"/>
    <w:rsid w:val="003C79F9"/>
    <w:rsid w:val="003D1ED3"/>
    <w:rsid w:val="003E6790"/>
    <w:rsid w:val="003F61C3"/>
    <w:rsid w:val="00443036"/>
    <w:rsid w:val="004523EF"/>
    <w:rsid w:val="00455FD5"/>
    <w:rsid w:val="00477338"/>
    <w:rsid w:val="004A72D7"/>
    <w:rsid w:val="004B65A5"/>
    <w:rsid w:val="004D42EC"/>
    <w:rsid w:val="004F1816"/>
    <w:rsid w:val="00521CC0"/>
    <w:rsid w:val="00535C1D"/>
    <w:rsid w:val="005743BB"/>
    <w:rsid w:val="00581E66"/>
    <w:rsid w:val="00595DA3"/>
    <w:rsid w:val="00597CBE"/>
    <w:rsid w:val="005A796B"/>
    <w:rsid w:val="005B21BB"/>
    <w:rsid w:val="005E2211"/>
    <w:rsid w:val="005E627E"/>
    <w:rsid w:val="00603B01"/>
    <w:rsid w:val="006459F8"/>
    <w:rsid w:val="00696C06"/>
    <w:rsid w:val="006A0697"/>
    <w:rsid w:val="006E0495"/>
    <w:rsid w:val="006F7BB8"/>
    <w:rsid w:val="006F7EB7"/>
    <w:rsid w:val="0072114F"/>
    <w:rsid w:val="00741BA4"/>
    <w:rsid w:val="00786EAA"/>
    <w:rsid w:val="007D6FDB"/>
    <w:rsid w:val="007E298C"/>
    <w:rsid w:val="007F4C05"/>
    <w:rsid w:val="00815EFE"/>
    <w:rsid w:val="00830FF2"/>
    <w:rsid w:val="00864E9F"/>
    <w:rsid w:val="0087510B"/>
    <w:rsid w:val="008921C1"/>
    <w:rsid w:val="00893B85"/>
    <w:rsid w:val="008A1AA2"/>
    <w:rsid w:val="008A3833"/>
    <w:rsid w:val="009434DA"/>
    <w:rsid w:val="00971C90"/>
    <w:rsid w:val="00991A5E"/>
    <w:rsid w:val="009A6931"/>
    <w:rsid w:val="00A26EEB"/>
    <w:rsid w:val="00A341EC"/>
    <w:rsid w:val="00A605E9"/>
    <w:rsid w:val="00A63AC6"/>
    <w:rsid w:val="00A8099C"/>
    <w:rsid w:val="00AB2D7C"/>
    <w:rsid w:val="00AC3832"/>
    <w:rsid w:val="00AC5F7A"/>
    <w:rsid w:val="00AD73EE"/>
    <w:rsid w:val="00B10A84"/>
    <w:rsid w:val="00B53FB4"/>
    <w:rsid w:val="00B54A9F"/>
    <w:rsid w:val="00B84AB9"/>
    <w:rsid w:val="00BB42AE"/>
    <w:rsid w:val="00BE2F94"/>
    <w:rsid w:val="00C176BC"/>
    <w:rsid w:val="00C404D4"/>
    <w:rsid w:val="00C5668E"/>
    <w:rsid w:val="00C65797"/>
    <w:rsid w:val="00C6791C"/>
    <w:rsid w:val="00C7337E"/>
    <w:rsid w:val="00C76400"/>
    <w:rsid w:val="00CB135C"/>
    <w:rsid w:val="00CC1E0F"/>
    <w:rsid w:val="00CE1668"/>
    <w:rsid w:val="00D029C7"/>
    <w:rsid w:val="00D36237"/>
    <w:rsid w:val="00D45D43"/>
    <w:rsid w:val="00D60C8A"/>
    <w:rsid w:val="00D76B44"/>
    <w:rsid w:val="00D82DC4"/>
    <w:rsid w:val="00D94FF9"/>
    <w:rsid w:val="00DB3660"/>
    <w:rsid w:val="00DD7E22"/>
    <w:rsid w:val="00DE2F8D"/>
    <w:rsid w:val="00DF7611"/>
    <w:rsid w:val="00E1145D"/>
    <w:rsid w:val="00E31480"/>
    <w:rsid w:val="00E6651A"/>
    <w:rsid w:val="00E8034E"/>
    <w:rsid w:val="00EC6FF8"/>
    <w:rsid w:val="00ED4513"/>
    <w:rsid w:val="00EE3A0D"/>
    <w:rsid w:val="00EF1CE7"/>
    <w:rsid w:val="00F26E36"/>
    <w:rsid w:val="00F37904"/>
    <w:rsid w:val="00F70D0A"/>
    <w:rsid w:val="00F8338A"/>
    <w:rsid w:val="00F9484E"/>
    <w:rsid w:val="00FE5C11"/>
    <w:rsid w:val="00FE73E9"/>
    <w:rsid w:val="081D6CD9"/>
    <w:rsid w:val="0E3513AA"/>
    <w:rsid w:val="2209174A"/>
    <w:rsid w:val="27DF24C3"/>
    <w:rsid w:val="28741BA1"/>
    <w:rsid w:val="2BA31F0C"/>
    <w:rsid w:val="2E5C00AA"/>
    <w:rsid w:val="39054CF9"/>
    <w:rsid w:val="3C954236"/>
    <w:rsid w:val="3CC7042B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</Company>
  <Pages>3</Pages>
  <Words>237</Words>
  <Characters>1352</Characters>
  <Lines>11</Lines>
  <Paragraphs>3</Paragraphs>
  <TotalTime>0</TotalTime>
  <ScaleCrop>false</ScaleCrop>
  <LinksUpToDate>false</LinksUpToDate>
  <CharactersWithSpaces>1586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2019-07-01T02:01:00Z</dcterms:created>
  <dc:creator>jh</dc:creator>
  <cp:lastModifiedBy>Administrator</cp:lastModifiedBy>
  <cp:lastPrinted>2017-06-01T04:59:00Z</cp:lastPrinted>
  <dcterms:modified xsi:type="dcterms:W3CDTF">2021-09-15T05:05:48Z</dcterms:modified>
  <dc:title>华侨大学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