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rPr>
          <w:rFonts w:ascii="宋体" w:hAnsi="宋体"/>
          <w:sz w:val="24"/>
        </w:rPr>
      </w:pPr>
      <w:r>
        <w:rPr>
          <w:rFonts w:hint="eastAsia"/>
        </w:rPr>
        <w:drawing>
          <wp:inline distT="0" distB="0" distL="0" distR="0">
            <wp:extent cx="2659380" cy="487680"/>
            <wp:effectExtent l="19050" t="0" r="762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5" cstate="print"/>
                    <a:srcRect/>
                    <a:stretch>
                      <a:fillRect/>
                    </a:stretch>
                  </pic:blipFill>
                  <pic:spPr>
                    <a:xfrm>
                      <a:off x="0" y="0"/>
                      <a:ext cx="2659380" cy="487680"/>
                    </a:xfrm>
                    <a:prstGeom prst="rect">
                      <a:avLst/>
                    </a:prstGeom>
                    <a:noFill/>
                    <a:ln w="9525">
                      <a:noFill/>
                      <a:miter lim="800000"/>
                      <a:headEnd/>
                      <a:tailEnd/>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ascii="黑体" w:hAnsi="华文中宋" w:eastAsia="黑体"/>
          <w:b/>
          <w:sz w:val="52"/>
          <w:szCs w:val="52"/>
        </w:rPr>
      </w:pPr>
      <w:r>
        <w:rPr>
          <w:rFonts w:hint="eastAsia" w:ascii="黑体" w:hAnsi="华文中宋" w:eastAsia="黑体"/>
          <w:b/>
          <w:sz w:val="52"/>
          <w:szCs w:val="52"/>
        </w:rPr>
        <w:t>《汉语作为第二语言教学设计与分析》</w:t>
      </w:r>
    </w:p>
    <w:p>
      <w:pPr>
        <w:widowControl/>
        <w:jc w:val="center"/>
        <w:rPr>
          <w:rFonts w:ascii="黑体" w:hAnsi="华文中宋" w:eastAsia="黑体"/>
          <w:b/>
          <w:sz w:val="52"/>
          <w:szCs w:val="52"/>
        </w:rPr>
      </w:pPr>
      <w:r>
        <w:rPr>
          <w:rFonts w:hint="eastAsia" w:ascii="黑体" w:hAnsi="华文中宋" w:eastAsia="黑体"/>
          <w:b/>
          <w:sz w:val="52"/>
          <w:szCs w:val="52"/>
        </w:rPr>
        <w:t>科目大纲</w:t>
      </w:r>
    </w:p>
    <w:p>
      <w:pPr>
        <w:widowControl/>
        <w:jc w:val="center"/>
        <w:rPr>
          <w:rFonts w:ascii="黑体" w:hAnsi="宋体" w:eastAsia="黑体"/>
          <w:sz w:val="30"/>
          <w:szCs w:val="30"/>
        </w:rPr>
      </w:pPr>
      <w:r>
        <w:rPr>
          <w:rFonts w:hint="eastAsia" w:ascii="黑体" w:hAnsi="宋体" w:eastAsia="黑体"/>
          <w:sz w:val="30"/>
          <w:szCs w:val="30"/>
        </w:rPr>
        <w:t>(科目代码：</w:t>
      </w:r>
      <w:r>
        <w:rPr>
          <w:rFonts w:hint="eastAsia" w:ascii="黑体" w:hAnsi="宋体" w:eastAsia="黑体"/>
          <w:color w:val="auto"/>
          <w:sz w:val="30"/>
          <w:szCs w:val="30"/>
        </w:rPr>
        <w:t>978</w:t>
      </w:r>
      <w:r>
        <w:rPr>
          <w:rFonts w:hint="eastAsia" w:ascii="黑体" w:hAnsi="宋体" w:eastAsia="黑体"/>
          <w:sz w:val="30"/>
          <w:szCs w:val="30"/>
        </w:rPr>
        <w:t>)</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国际文化交流学院   </w:t>
      </w:r>
    </w:p>
    <w:p>
      <w:pPr>
        <w:widowControl/>
        <w:spacing w:line="800" w:lineRule="exact"/>
        <w:ind w:firstLine="1601" w:firstLineChars="556"/>
        <w:jc w:val="left"/>
        <w:rPr>
          <w:rFonts w:ascii="仿宋_GB2312" w:hAnsi="宋体" w:eastAsia="仿宋_GB2312"/>
          <w:sz w:val="32"/>
          <w:szCs w:val="32"/>
        </w:rPr>
      </w:pPr>
      <w:r>
        <w:rPr>
          <w:rFonts w:hint="eastAsia" w:ascii="仿宋_GB2312" w:hAnsi="宋体" w:eastAsia="仿宋_GB2312"/>
          <w:w w:val="90"/>
          <w:sz w:val="32"/>
          <w:szCs w:val="32"/>
        </w:rPr>
        <w:t>学院负责人(签字)：_</w:t>
      </w:r>
      <w:r>
        <w:rPr>
          <w:rFonts w:hint="eastAsia" w:ascii="仿宋_GB2312" w:hAnsi="宋体" w:eastAsia="仿宋_GB2312"/>
          <w:w w:val="90"/>
          <w:sz w:val="32"/>
          <w:szCs w:val="32"/>
        </w:rPr>
        <w:softHyphen/>
      </w:r>
      <w:r>
        <w:rPr>
          <w:rFonts w:hint="eastAsia" w:ascii="仿宋_GB2312" w:hAnsi="宋体" w:eastAsia="仿宋_GB2312"/>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 xml:space="preserve">年 7月2日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汉语作为第二语言教学设计与分析</w:t>
      </w:r>
      <w:r>
        <w:rPr>
          <w:rFonts w:hint="eastAsia" w:ascii="黑体" w:hAnsi="华文中宋" w:eastAsia="黑体"/>
          <w:b/>
          <w:sz w:val="30"/>
          <w:szCs w:val="30"/>
        </w:rPr>
        <w:t>》科目大纲</w:t>
      </w:r>
    </w:p>
    <w:p>
      <w:pPr>
        <w:widowControl/>
        <w:jc w:val="center"/>
        <w:rPr>
          <w:rFonts w:ascii="黑体" w:hAnsi="宋体" w:eastAsia="黑体"/>
          <w:sz w:val="24"/>
        </w:rPr>
      </w:pPr>
      <w:r>
        <w:rPr>
          <w:rFonts w:hint="eastAsia" w:ascii="黑体" w:hAnsi="宋体" w:eastAsia="黑体"/>
          <w:sz w:val="24"/>
        </w:rPr>
        <w:t>(科目代码：</w:t>
      </w:r>
      <w:bookmarkStart w:id="0" w:name="_GoBack"/>
      <w:r>
        <w:rPr>
          <w:rFonts w:hint="eastAsia" w:ascii="黑体" w:hAnsi="宋体" w:eastAsia="黑体"/>
          <w:color w:val="auto"/>
          <w:sz w:val="24"/>
        </w:rPr>
        <w:t>978</w:t>
      </w:r>
      <w:bookmarkEnd w:id="0"/>
      <w:r>
        <w:rPr>
          <w:rFonts w:hint="eastAsia" w:ascii="黑体" w:hAnsi="宋体" w:eastAsia="黑体"/>
          <w:sz w:val="24"/>
        </w:rPr>
        <w:t>)</w:t>
      </w:r>
    </w:p>
    <w:p>
      <w:pPr>
        <w:widowControl/>
        <w:spacing w:line="400" w:lineRule="exact"/>
        <w:ind w:firstLine="281" w:firstLineChars="100"/>
        <w:jc w:val="left"/>
        <w:rPr>
          <w:rFonts w:ascii="仿宋_GB2312" w:hAnsi="宋体" w:eastAsia="仿宋_GB2312"/>
          <w:b/>
          <w:sz w:val="28"/>
          <w:szCs w:val="28"/>
        </w:rPr>
      </w:pPr>
      <w:r>
        <w:rPr>
          <w:rFonts w:hint="eastAsia" w:ascii="仿宋_GB2312" w:hAnsi="宋体" w:eastAsia="仿宋_GB2312"/>
          <w:b/>
          <w:sz w:val="28"/>
          <w:szCs w:val="28"/>
        </w:rPr>
        <w:t>一、考核要求</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作为第二语言教学设计与分析是汉语国际教育硕士生入学考试复试笔试科目。我们根据汉语国际教育硕士专业学位教育指导委员会统一制定的考试大纲，结合我校的实际情况，制定自命题的依据，力图符合该科目选拔性考试的要求。本考试大纲的制定力求反映汉语国际教育硕士专业学位的特点，科学、公平、准确、规范地测评考生的相关知识基础、基本素质和综合能力，其目的是测试考生的汉语教学基础知识和教学实践能力。</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二、考核评价目标</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（一）要求考生具有汉语教学设计的理论基础，能根据实际情况分析教学对象及其需求。</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（二）要求考生能够根据所给材料，制定出科学的教学设计，合理组织课堂教学。</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（三）要求考生具备汉语测试方面的基础知识，能够对课堂教学效果进行评估和反思。</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三、考核内容</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汉语作为第二语言教学设计与分析考试主要由“汉语教学设计基础理论”，“汉语课程教案设计与分析”，“汉语语言测试与教学评估”三部分组成。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第一部分  汉语教学设计基础理论</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教学设计的理论基础</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教学设计的过程模式</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教学对象分析</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第四节  教学需求分析</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第五节  教学内容分析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第二部分  汉语课程教案设计与分析</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教学内容设计</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教学流程设计</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第三节  课堂活动设计</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第四节  教案编写与分析</w:t>
      </w:r>
    </w:p>
    <w:p>
      <w:pPr>
        <w:widowControl/>
        <w:spacing w:line="400" w:lineRule="exact"/>
        <w:ind w:firstLine="562" w:firstLineChars="200"/>
        <w:jc w:val="left"/>
        <w:rPr>
          <w:rFonts w:ascii="仿宋_GB2312" w:hAnsi="宋体" w:eastAsia="仿宋_GB2312"/>
          <w:b/>
          <w:sz w:val="28"/>
          <w:szCs w:val="28"/>
        </w:rPr>
      </w:pPr>
      <w:r>
        <w:rPr>
          <w:rFonts w:hint="eastAsia" w:ascii="仿宋_GB2312" w:hAnsi="宋体" w:eastAsia="仿宋_GB2312"/>
          <w:b/>
          <w:sz w:val="28"/>
          <w:szCs w:val="28"/>
        </w:rPr>
        <w:t>第三部分  汉语语言测试与教学评估</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第一节  语言测试的概念与题型</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第二节  课堂教学评估</w:t>
      </w:r>
    </w:p>
    <w:p>
      <w:pPr>
        <w:widowControl/>
        <w:spacing w:line="400" w:lineRule="exact"/>
        <w:jc w:val="left"/>
        <w:rPr>
          <w:rFonts w:ascii="仿宋_GB2312" w:hAnsi="宋体" w:eastAsia="仿宋_GB2312"/>
          <w:b/>
          <w:sz w:val="28"/>
          <w:szCs w:val="28"/>
        </w:rPr>
      </w:pPr>
      <w:r>
        <w:rPr>
          <w:rFonts w:hint="eastAsia" w:ascii="仿宋_GB2312" w:hAnsi="宋体" w:eastAsia="仿宋_GB2312"/>
          <w:b/>
          <w:sz w:val="28"/>
          <w:szCs w:val="28"/>
        </w:rPr>
        <w:t>四、参考书目</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崔永华编著《对外汉语教学设计导论》，北京语言大学出版社，2008年；</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廖建玲著《国际汉语教学设计》，高等教育出版社，2013年；</w:t>
      </w:r>
    </w:p>
    <w:p>
      <w:pPr>
        <w:widowControl/>
        <w:spacing w:line="4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张和生、马燕华主编《对外汉语教学示范教案》，北京师范大学出版社，2009年。</w:t>
      </w:r>
    </w:p>
    <w:sectPr>
      <w:headerReference r:id="rId3" w:type="default"/>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6ED4"/>
    <w:rsid w:val="00007BA9"/>
    <w:rsid w:val="00044AE2"/>
    <w:rsid w:val="0007385F"/>
    <w:rsid w:val="000752AE"/>
    <w:rsid w:val="00083C81"/>
    <w:rsid w:val="000938B0"/>
    <w:rsid w:val="000A307B"/>
    <w:rsid w:val="000D6ED4"/>
    <w:rsid w:val="0014776D"/>
    <w:rsid w:val="00155BA2"/>
    <w:rsid w:val="00167D1B"/>
    <w:rsid w:val="001755C2"/>
    <w:rsid w:val="00182132"/>
    <w:rsid w:val="00197A98"/>
    <w:rsid w:val="001A0310"/>
    <w:rsid w:val="001A0467"/>
    <w:rsid w:val="001F367B"/>
    <w:rsid w:val="002036CF"/>
    <w:rsid w:val="0026441C"/>
    <w:rsid w:val="00273F90"/>
    <w:rsid w:val="00290800"/>
    <w:rsid w:val="003078FF"/>
    <w:rsid w:val="00313DA8"/>
    <w:rsid w:val="003633A7"/>
    <w:rsid w:val="003668C9"/>
    <w:rsid w:val="00383E03"/>
    <w:rsid w:val="003B188A"/>
    <w:rsid w:val="003B4B0B"/>
    <w:rsid w:val="003E41AC"/>
    <w:rsid w:val="0041366D"/>
    <w:rsid w:val="004224D3"/>
    <w:rsid w:val="004232F3"/>
    <w:rsid w:val="00455716"/>
    <w:rsid w:val="00485C3F"/>
    <w:rsid w:val="004C39F0"/>
    <w:rsid w:val="004C6481"/>
    <w:rsid w:val="00513C1C"/>
    <w:rsid w:val="00523D60"/>
    <w:rsid w:val="005733BF"/>
    <w:rsid w:val="00612B33"/>
    <w:rsid w:val="00616B04"/>
    <w:rsid w:val="00630BDB"/>
    <w:rsid w:val="00631D48"/>
    <w:rsid w:val="00681475"/>
    <w:rsid w:val="006901E6"/>
    <w:rsid w:val="006B05FE"/>
    <w:rsid w:val="006C5F27"/>
    <w:rsid w:val="006D3598"/>
    <w:rsid w:val="00723A76"/>
    <w:rsid w:val="0072728D"/>
    <w:rsid w:val="007348AF"/>
    <w:rsid w:val="0074476E"/>
    <w:rsid w:val="00746265"/>
    <w:rsid w:val="00755D09"/>
    <w:rsid w:val="007615EA"/>
    <w:rsid w:val="0076708D"/>
    <w:rsid w:val="00797615"/>
    <w:rsid w:val="007B33DE"/>
    <w:rsid w:val="0082559A"/>
    <w:rsid w:val="008361B0"/>
    <w:rsid w:val="0084180B"/>
    <w:rsid w:val="00856BA6"/>
    <w:rsid w:val="00881288"/>
    <w:rsid w:val="008A58E7"/>
    <w:rsid w:val="008B171E"/>
    <w:rsid w:val="008D68CC"/>
    <w:rsid w:val="008E4462"/>
    <w:rsid w:val="00951554"/>
    <w:rsid w:val="00952326"/>
    <w:rsid w:val="009529C1"/>
    <w:rsid w:val="009551A6"/>
    <w:rsid w:val="00973D1F"/>
    <w:rsid w:val="009F1A5E"/>
    <w:rsid w:val="009F6712"/>
    <w:rsid w:val="00A10AC3"/>
    <w:rsid w:val="00A26125"/>
    <w:rsid w:val="00A309FD"/>
    <w:rsid w:val="00A424F6"/>
    <w:rsid w:val="00A627E3"/>
    <w:rsid w:val="00A856F0"/>
    <w:rsid w:val="00AC4E68"/>
    <w:rsid w:val="00AF6C9F"/>
    <w:rsid w:val="00B06B89"/>
    <w:rsid w:val="00B17978"/>
    <w:rsid w:val="00B60853"/>
    <w:rsid w:val="00B73EA8"/>
    <w:rsid w:val="00BB038C"/>
    <w:rsid w:val="00BB3E9C"/>
    <w:rsid w:val="00BC05D2"/>
    <w:rsid w:val="00BC7433"/>
    <w:rsid w:val="00BE729E"/>
    <w:rsid w:val="00BF6641"/>
    <w:rsid w:val="00C41C30"/>
    <w:rsid w:val="00C906CF"/>
    <w:rsid w:val="00CA3A68"/>
    <w:rsid w:val="00CB2B38"/>
    <w:rsid w:val="00CD102E"/>
    <w:rsid w:val="00D031A6"/>
    <w:rsid w:val="00D146A1"/>
    <w:rsid w:val="00D3025A"/>
    <w:rsid w:val="00D5499A"/>
    <w:rsid w:val="00D825EC"/>
    <w:rsid w:val="00D829A5"/>
    <w:rsid w:val="00E16F6A"/>
    <w:rsid w:val="00E22AB7"/>
    <w:rsid w:val="00EC775C"/>
    <w:rsid w:val="00F015B3"/>
    <w:rsid w:val="00F8294F"/>
    <w:rsid w:val="00FA1859"/>
    <w:rsid w:val="00FA563C"/>
    <w:rsid w:val="00FC1F41"/>
    <w:rsid w:val="00FC789D"/>
    <w:rsid w:val="09BC54D0"/>
    <w:rsid w:val="110F135A"/>
    <w:rsid w:val="1F0C3D31"/>
    <w:rsid w:val="213931FB"/>
    <w:rsid w:val="231244EE"/>
    <w:rsid w:val="2CBA5526"/>
    <w:rsid w:val="32EE052A"/>
    <w:rsid w:val="3F293658"/>
    <w:rsid w:val="435C664B"/>
    <w:rsid w:val="47E06E1B"/>
    <w:rsid w:val="5BCB0432"/>
    <w:rsid w:val="5C78201D"/>
    <w:rsid w:val="5D354EE6"/>
    <w:rsid w:val="5DFF47AF"/>
    <w:rsid w:val="600D72DE"/>
    <w:rsid w:val="64CC397F"/>
    <w:rsid w:val="6B92347F"/>
    <w:rsid w:val="72BA2276"/>
    <w:rsid w:val="788144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999宝藏网</Company>
  <Pages>3</Pages>
  <Words>133</Words>
  <Characters>763</Characters>
  <Lines>6</Lines>
  <Paragraphs>1</Paragraphs>
  <TotalTime>0</TotalTime>
  <ScaleCrop>false</ScaleCrop>
  <LinksUpToDate>false</LinksUpToDate>
  <CharactersWithSpaces>895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2019-06-12T00:44:00Z</dcterms:created>
  <dc:creator>Admin</dc:creator>
  <cp:lastModifiedBy>Administrator</cp:lastModifiedBy>
  <cp:lastPrinted>2010-09-25T07:47:00Z</cp:lastPrinted>
  <dcterms:modified xsi:type="dcterms:W3CDTF">2021-07-08T03:49:44Z</dcterms:modified>
  <dc:title>关于做好全日制研究生入学考试考试科目大纲编制工作的通知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8BF34FCE248140E1BBE2B68952E8504E</vt:lpwstr>
  </property>
</Properties>
</file>