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考试科目代码：[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同等学力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]          考试科目名称：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hi-IN"/>
        </w:rPr>
        <w:t>宏观经济学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一、考试形式与试卷结构</w:t>
      </w:r>
    </w:p>
    <w:p>
      <w:pPr>
        <w:pStyle w:val="9"/>
        <w:ind w:firstLine="56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（一）试卷分数及考试时间</w:t>
      </w:r>
    </w:p>
    <w:p>
      <w:pPr>
        <w:pStyle w:val="9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本试卷满分为100分，考试时间为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/>
          <w:sz w:val="28"/>
          <w:szCs w:val="28"/>
        </w:rPr>
        <w:t>分钟。</w:t>
      </w:r>
    </w:p>
    <w:p>
      <w:pPr>
        <w:pStyle w:val="9"/>
        <w:ind w:firstLine="56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（二）考试形式</w:t>
      </w:r>
    </w:p>
    <w:p>
      <w:pPr>
        <w:pStyle w:val="9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考试形式为闭卷、笔试。</w:t>
      </w:r>
    </w:p>
    <w:p>
      <w:pPr>
        <w:pStyle w:val="9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试卷由试题和答题纸组成；答案必须写在答题纸（由考点提供）相应的位置上。</w:t>
      </w:r>
    </w:p>
    <w:p>
      <w:pPr>
        <w:pStyle w:val="9"/>
        <w:ind w:firstLine="56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（三）试卷结构</w:t>
      </w:r>
    </w:p>
    <w:p>
      <w:pPr>
        <w:pStyle w:val="9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简答题：30分</w:t>
      </w:r>
    </w:p>
    <w:p>
      <w:pPr>
        <w:pStyle w:val="9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计算题：10分</w:t>
      </w:r>
    </w:p>
    <w:p>
      <w:pPr>
        <w:pStyle w:val="9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分析论述题：60分</w:t>
      </w:r>
    </w:p>
    <w:p>
      <w:pPr>
        <w:numPr>
          <w:ilvl w:val="0"/>
          <w:numId w:val="1"/>
        </w:num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考试目标 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要求考生系统掌握宏观经济学的基本知识、基础理论和基本方法，并能运用相关理论和方法分析、解决实际问题。</w:t>
      </w:r>
    </w:p>
    <w:p>
      <w:pPr>
        <w:ind w:firstLine="560" w:firstLineChars="20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三、考试范围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（一） </w:t>
      </w:r>
      <w:r>
        <w:rPr>
          <w:rFonts w:ascii="仿宋" w:hAnsi="仿宋" w:eastAsia="仿宋"/>
          <w:sz w:val="28"/>
          <w:szCs w:val="28"/>
        </w:rPr>
        <w:t>宏观经济的基本指标及其衡量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宏观经济学的特点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国内生产总值及其核算方法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国民收入的其他衡量指标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ascii="仿宋" w:hAnsi="仿宋" w:eastAsia="仿宋"/>
          <w:sz w:val="28"/>
          <w:szCs w:val="28"/>
        </w:rPr>
        <w:t>国民收入的基本公式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</w:t>
      </w:r>
      <w:r>
        <w:rPr>
          <w:rFonts w:ascii="仿宋" w:hAnsi="仿宋" w:eastAsia="仿宋"/>
          <w:sz w:val="28"/>
          <w:szCs w:val="28"/>
        </w:rPr>
        <w:t>名义GDP和实际GDP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</w:t>
      </w:r>
      <w:r>
        <w:rPr>
          <w:rFonts w:ascii="仿宋" w:hAnsi="仿宋" w:eastAsia="仿宋"/>
          <w:sz w:val="28"/>
          <w:szCs w:val="28"/>
        </w:rPr>
        <w:t>失业和物价水平的衡量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</w:t>
      </w:r>
      <w:r>
        <w:rPr>
          <w:rFonts w:ascii="仿宋" w:hAnsi="仿宋" w:eastAsia="仿宋"/>
          <w:sz w:val="28"/>
          <w:szCs w:val="28"/>
        </w:rPr>
        <w:t>国民收入的决定:收入—支出模型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均衡产出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凯恩斯的消费理论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两部门经济中国民收入的决定及</w:t>
      </w:r>
      <w:r>
        <w:rPr>
          <w:rFonts w:hint="eastAsia" w:ascii="仿宋" w:hAnsi="仿宋" w:eastAsia="仿宋"/>
          <w:sz w:val="28"/>
          <w:szCs w:val="28"/>
        </w:rPr>
        <w:t>乘数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4、三部门经济中国民收入的决定及乘数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5、潜在国民收入与缺口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</w:t>
      </w:r>
      <w:r>
        <w:rPr>
          <w:rFonts w:ascii="仿宋" w:hAnsi="仿宋" w:eastAsia="仿宋"/>
          <w:sz w:val="28"/>
          <w:szCs w:val="28"/>
        </w:rPr>
        <w:t>国民收入的决定: IS—LM模型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投资的决定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IS曲线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利率的决定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ascii="仿宋" w:hAnsi="仿宋" w:eastAsia="仿宋"/>
          <w:sz w:val="28"/>
          <w:szCs w:val="28"/>
        </w:rPr>
        <w:t>LM曲线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</w:t>
      </w:r>
      <w:r>
        <w:rPr>
          <w:rFonts w:ascii="仿宋" w:hAnsi="仿宋" w:eastAsia="仿宋"/>
          <w:sz w:val="28"/>
          <w:szCs w:val="28"/>
        </w:rPr>
        <w:t>IS-LM分析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</w:t>
      </w:r>
      <w:r>
        <w:rPr>
          <w:rFonts w:ascii="仿宋" w:hAnsi="仿宋" w:eastAsia="仿宋"/>
          <w:sz w:val="28"/>
          <w:szCs w:val="28"/>
        </w:rPr>
        <w:t>凯恩斯的基本理论框架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</w:t>
      </w:r>
      <w:r>
        <w:rPr>
          <w:rFonts w:ascii="仿宋" w:hAnsi="仿宋" w:eastAsia="仿宋"/>
          <w:sz w:val="28"/>
          <w:szCs w:val="28"/>
        </w:rPr>
        <w:t>国民收入的决定:总需求—总供给模型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1、AD</w:t>
      </w:r>
      <w:r>
        <w:rPr>
          <w:rFonts w:ascii="仿宋" w:hAnsi="仿宋" w:eastAsia="仿宋"/>
          <w:sz w:val="28"/>
          <w:szCs w:val="28"/>
        </w:rPr>
        <w:t>曲线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总供给的一般说明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3、AS</w:t>
      </w:r>
      <w:r>
        <w:rPr>
          <w:rFonts w:ascii="仿宋" w:hAnsi="仿宋" w:eastAsia="仿宋"/>
          <w:sz w:val="28"/>
          <w:szCs w:val="28"/>
        </w:rPr>
        <w:t>曲线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4、模型的结构和应用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5、考虑时间因素的AD—AS模型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</w:t>
      </w:r>
      <w:r>
        <w:rPr>
          <w:rFonts w:ascii="仿宋" w:hAnsi="仿宋" w:eastAsia="仿宋"/>
          <w:sz w:val="28"/>
          <w:szCs w:val="28"/>
        </w:rPr>
        <w:t>失业与通货膨胀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失业的描述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失业的原因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失业的影响与奥肯定律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ascii="仿宋" w:hAnsi="仿宋" w:eastAsia="仿宋"/>
          <w:sz w:val="28"/>
          <w:szCs w:val="28"/>
        </w:rPr>
        <w:t>通货膨胀的描述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</w:t>
      </w:r>
      <w:r>
        <w:rPr>
          <w:rFonts w:ascii="仿宋" w:hAnsi="仿宋" w:eastAsia="仿宋"/>
          <w:sz w:val="28"/>
          <w:szCs w:val="28"/>
        </w:rPr>
        <w:t>通货膨胀的原因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</w:t>
      </w:r>
      <w:r>
        <w:rPr>
          <w:rFonts w:ascii="仿宋" w:hAnsi="仿宋" w:eastAsia="仿宋"/>
          <w:sz w:val="28"/>
          <w:szCs w:val="28"/>
        </w:rPr>
        <w:t>通货膨胀的成本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</w:t>
      </w:r>
      <w:r>
        <w:rPr>
          <w:rFonts w:ascii="仿宋" w:hAnsi="仿宋" w:eastAsia="仿宋"/>
          <w:sz w:val="28"/>
          <w:szCs w:val="28"/>
        </w:rPr>
        <w:t>失业与通货膨胀的关系——菲利普斯曲线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（六）</w:t>
      </w:r>
      <w:r>
        <w:rPr>
          <w:rFonts w:ascii="仿宋" w:hAnsi="仿宋" w:eastAsia="仿宋"/>
          <w:sz w:val="28"/>
          <w:szCs w:val="28"/>
        </w:rPr>
        <w:t>宏观经济政策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宏观经济政策目标以及经济政策影响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财政政策及其效果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货币政策及其效果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ascii="仿宋" w:hAnsi="仿宋" w:eastAsia="仿宋"/>
          <w:sz w:val="28"/>
          <w:szCs w:val="28"/>
        </w:rPr>
        <w:t>两种政策的混合使用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</w:t>
      </w:r>
      <w:r>
        <w:rPr>
          <w:rFonts w:ascii="仿宋" w:hAnsi="仿宋" w:eastAsia="仿宋"/>
          <w:sz w:val="28"/>
          <w:szCs w:val="28"/>
        </w:rPr>
        <w:t>供给管理的政策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（七）蒙代尔弗莱明模型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1、汇率、净出口和资本净流出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2、模型的结构</w:t>
      </w:r>
    </w:p>
    <w:p>
      <w:pPr>
        <w:ind w:firstLine="560" w:firstLineChars="20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3、模型的应用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4、模型的扩展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（八）</w:t>
      </w:r>
      <w:r>
        <w:rPr>
          <w:rFonts w:ascii="仿宋" w:hAnsi="仿宋" w:eastAsia="仿宋"/>
          <w:sz w:val="28"/>
          <w:szCs w:val="28"/>
        </w:rPr>
        <w:t>经济增长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国民收入长期趋势和波动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经济增长的描述和事实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3、经济增长的决定因素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ascii="仿宋" w:hAnsi="仿宋" w:eastAsia="仿宋"/>
          <w:sz w:val="28"/>
          <w:szCs w:val="28"/>
        </w:rPr>
        <w:t>构建和分析新古典增长模型</w:t>
      </w:r>
    </w:p>
    <w:p>
      <w:pPr>
        <w:ind w:firstLine="560" w:firstLineChars="20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</w:t>
      </w:r>
      <w:r>
        <w:rPr>
          <w:rFonts w:ascii="仿宋" w:hAnsi="仿宋" w:eastAsia="仿宋"/>
          <w:sz w:val="28"/>
          <w:szCs w:val="28"/>
        </w:rPr>
        <w:t>应用新古典增长模型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6、内生增长理论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1、《西方经济学》下册（第2版），《西方经济学》编写组，高等教育出版社，2019。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2、《西方经济学》宏观部分（第7版），高鸿业主编，中国人民大学出版社，2020。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CA6C"/>
    <w:multiLevelType w:val="singleLevel"/>
    <w:tmpl w:val="0C23CA6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74"/>
    <w:rsid w:val="000476BC"/>
    <w:rsid w:val="00090242"/>
    <w:rsid w:val="000F6C4C"/>
    <w:rsid w:val="00150993"/>
    <w:rsid w:val="0019235E"/>
    <w:rsid w:val="001B4F38"/>
    <w:rsid w:val="001E110A"/>
    <w:rsid w:val="001F7BF5"/>
    <w:rsid w:val="00212636"/>
    <w:rsid w:val="00230F8F"/>
    <w:rsid w:val="00234D15"/>
    <w:rsid w:val="002552A9"/>
    <w:rsid w:val="00260D3E"/>
    <w:rsid w:val="00281B72"/>
    <w:rsid w:val="002A6620"/>
    <w:rsid w:val="002C7FA4"/>
    <w:rsid w:val="00365DA8"/>
    <w:rsid w:val="00371F85"/>
    <w:rsid w:val="003D3152"/>
    <w:rsid w:val="003F735A"/>
    <w:rsid w:val="00407A74"/>
    <w:rsid w:val="005248FA"/>
    <w:rsid w:val="00560AA8"/>
    <w:rsid w:val="00591A08"/>
    <w:rsid w:val="005C19F1"/>
    <w:rsid w:val="005D2EEE"/>
    <w:rsid w:val="006959BF"/>
    <w:rsid w:val="0070359A"/>
    <w:rsid w:val="007310EA"/>
    <w:rsid w:val="007646ED"/>
    <w:rsid w:val="0078238E"/>
    <w:rsid w:val="007A2CB4"/>
    <w:rsid w:val="007C385B"/>
    <w:rsid w:val="007F57A2"/>
    <w:rsid w:val="00881CA9"/>
    <w:rsid w:val="008D7DD9"/>
    <w:rsid w:val="00912E19"/>
    <w:rsid w:val="00940EF8"/>
    <w:rsid w:val="00956B62"/>
    <w:rsid w:val="009651D4"/>
    <w:rsid w:val="009656D6"/>
    <w:rsid w:val="009B786A"/>
    <w:rsid w:val="009D017A"/>
    <w:rsid w:val="009E2998"/>
    <w:rsid w:val="00A071A0"/>
    <w:rsid w:val="00A329D7"/>
    <w:rsid w:val="00A56AF4"/>
    <w:rsid w:val="00A63DC9"/>
    <w:rsid w:val="00AA7AC0"/>
    <w:rsid w:val="00AE17B9"/>
    <w:rsid w:val="00BA7A26"/>
    <w:rsid w:val="00C15459"/>
    <w:rsid w:val="00C171F0"/>
    <w:rsid w:val="00C54FEF"/>
    <w:rsid w:val="00CA51D8"/>
    <w:rsid w:val="00CD2E28"/>
    <w:rsid w:val="00DC5FD9"/>
    <w:rsid w:val="00DD2DC1"/>
    <w:rsid w:val="00DD3CA2"/>
    <w:rsid w:val="00E27172"/>
    <w:rsid w:val="00E53AC4"/>
    <w:rsid w:val="00EB3FD6"/>
    <w:rsid w:val="00F4144B"/>
    <w:rsid w:val="06F6380C"/>
    <w:rsid w:val="0D8F0F45"/>
    <w:rsid w:val="0F2E7324"/>
    <w:rsid w:val="10E53F5D"/>
    <w:rsid w:val="1BAA4BB9"/>
    <w:rsid w:val="29B00A35"/>
    <w:rsid w:val="2DD13BAF"/>
    <w:rsid w:val="316C49D0"/>
    <w:rsid w:val="329502BB"/>
    <w:rsid w:val="38AA071B"/>
    <w:rsid w:val="38B766FE"/>
    <w:rsid w:val="422E2294"/>
    <w:rsid w:val="4AF31A56"/>
    <w:rsid w:val="53662468"/>
    <w:rsid w:val="53833818"/>
    <w:rsid w:val="5FBA72D5"/>
    <w:rsid w:val="60041A04"/>
    <w:rsid w:val="6AAE6AD7"/>
    <w:rsid w:val="71370454"/>
    <w:rsid w:val="716430DF"/>
    <w:rsid w:val="74D60250"/>
    <w:rsid w:val="75F4510B"/>
    <w:rsid w:val="78EE785D"/>
    <w:rsid w:val="7D3A5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批注框文本 Char"/>
    <w:link w:val="3"/>
    <w:uiPriority w:val="0"/>
    <w:rPr>
      <w:kern w:val="2"/>
      <w:sz w:val="18"/>
      <w:szCs w:val="18"/>
    </w:rPr>
  </w:style>
  <w:style w:type="character" w:customStyle="1" w:styleId="11">
    <w:name w:val="页脚 Char1"/>
    <w:link w:val="4"/>
    <w:uiPriority w:val="0"/>
    <w:rPr>
      <w:kern w:val="2"/>
      <w:sz w:val="18"/>
      <w:szCs w:val="18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页脚 Char"/>
    <w:uiPriority w:val="99"/>
    <w:rPr>
      <w:rFonts w:eastAsia="Calibri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145</Words>
  <Characters>832</Characters>
  <Lines>6</Lines>
  <Paragraphs>1</Paragraphs>
  <TotalTime>0</TotalTime>
  <ScaleCrop>false</ScaleCrop>
  <LinksUpToDate>false</LinksUpToDate>
  <CharactersWithSpaces>976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2020-08-26T12:22:00Z</dcterms:created>
  <dc:creator>lenovo</dc:creator>
  <cp:lastModifiedBy>Administrator</cp:lastModifiedBy>
  <cp:lastPrinted>2018-07-09T09:35:00Z</cp:lastPrinted>
  <dcterms:modified xsi:type="dcterms:W3CDTF">2021-08-27T11:34:31Z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F7B9341BF048487699DFF5DCD853B1BC</vt:lpwstr>
  </property>
</Properties>
</file>