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b/>
          <w:color w:val="000000"/>
          <w:sz w:val="32"/>
          <w:szCs w:val="32"/>
        </w:rPr>
      </w:pPr>
      <w:bookmarkStart w:id="0" w:name="_GoBack"/>
      <w:bookmarkEnd w:id="0"/>
      <w:r>
        <w:rPr>
          <w:b/>
          <w:color w:val="000000"/>
          <w:sz w:val="32"/>
          <w:szCs w:val="32"/>
        </w:rPr>
        <w:t>“</w:t>
      </w:r>
      <w:r>
        <w:rPr>
          <w:rFonts w:hAnsi="宋体"/>
          <w:b/>
          <w:color w:val="000000"/>
          <w:sz w:val="32"/>
          <w:szCs w:val="32"/>
        </w:rPr>
        <w:t>高分子化学</w:t>
      </w:r>
      <w:r>
        <w:rPr>
          <w:rFonts w:hint="eastAsia" w:hAnsi="宋体"/>
          <w:b/>
          <w:color w:val="000000"/>
          <w:sz w:val="32"/>
          <w:szCs w:val="32"/>
        </w:rPr>
        <w:t>与物理</w:t>
      </w:r>
      <w:r>
        <w:rPr>
          <w:b/>
          <w:color w:val="000000"/>
          <w:sz w:val="32"/>
          <w:szCs w:val="32"/>
        </w:rPr>
        <w:t>”</w:t>
      </w:r>
      <w:r>
        <w:rPr>
          <w:rFonts w:hAnsi="宋体"/>
          <w:b/>
          <w:color w:val="000000"/>
          <w:sz w:val="32"/>
          <w:szCs w:val="32"/>
        </w:rPr>
        <w:t>考试大纲</w:t>
      </w:r>
    </w:p>
    <w:p>
      <w:pPr>
        <w:spacing w:line="360" w:lineRule="auto"/>
        <w:jc w:val="center"/>
        <w:rPr>
          <w:rFonts w:hint="eastAsia"/>
          <w:b/>
          <w:color w:val="000000"/>
          <w:sz w:val="32"/>
          <w:szCs w:val="32"/>
        </w:rPr>
      </w:pPr>
      <w:r>
        <w:rPr>
          <w:rFonts w:hint="eastAsia" w:ascii="宋体" w:hAnsi="宋体" w:cs="宋体"/>
          <w:b/>
          <w:color w:val="000000"/>
          <w:sz w:val="32"/>
          <w:szCs w:val="32"/>
        </w:rPr>
        <w:t>考试代码:</w:t>
      </w:r>
      <w:r>
        <w:rPr>
          <w:rFonts w:hint="eastAsia" w:hAnsi="宋体"/>
          <w:b/>
          <w:color w:val="000000"/>
          <w:sz w:val="32"/>
          <w:szCs w:val="32"/>
        </w:rPr>
        <w:t>816</w:t>
      </w:r>
    </w:p>
    <w:p>
      <w:pPr>
        <w:spacing w:line="360" w:lineRule="auto"/>
        <w:rPr>
          <w:color w:val="000000"/>
          <w:sz w:val="24"/>
        </w:rPr>
      </w:pPr>
    </w:p>
    <w:p>
      <w:pPr>
        <w:spacing w:line="360" w:lineRule="auto"/>
        <w:rPr>
          <w:rFonts w:ascii="宋体" w:hAnsi="宋体"/>
          <w:b/>
          <w:color w:val="000000"/>
          <w:sz w:val="24"/>
        </w:rPr>
      </w:pPr>
      <w:r>
        <w:rPr>
          <w:rFonts w:hAnsi="宋体"/>
          <w:b/>
          <w:color w:val="000000"/>
          <w:sz w:val="24"/>
        </w:rPr>
        <w:t>目录</w:t>
      </w:r>
    </w:p>
    <w:p>
      <w:pPr>
        <w:spacing w:line="360" w:lineRule="auto"/>
        <w:rPr>
          <w:b/>
          <w:color w:val="000000"/>
          <w:sz w:val="24"/>
        </w:rPr>
      </w:pPr>
      <w:r>
        <w:rPr>
          <w:rFonts w:hAnsi="宋体"/>
          <w:b/>
          <w:color w:val="000000"/>
          <w:sz w:val="24"/>
        </w:rPr>
        <w:t>Ⅰ</w:t>
      </w:r>
      <w:r>
        <w:rPr>
          <w:b/>
          <w:color w:val="000000"/>
          <w:sz w:val="24"/>
        </w:rPr>
        <w:t>、考试目标</w:t>
      </w:r>
    </w:p>
    <w:p>
      <w:pPr>
        <w:spacing w:line="360" w:lineRule="auto"/>
        <w:rPr>
          <w:b/>
          <w:color w:val="000000"/>
          <w:sz w:val="24"/>
        </w:rPr>
      </w:pPr>
      <w:r>
        <w:rPr>
          <w:rFonts w:hAnsi="宋体"/>
          <w:b/>
          <w:color w:val="000000"/>
          <w:sz w:val="24"/>
        </w:rPr>
        <w:t>Ⅱ</w:t>
      </w:r>
      <w:r>
        <w:rPr>
          <w:b/>
          <w:color w:val="000000"/>
          <w:sz w:val="24"/>
        </w:rPr>
        <w:t>、考试形式和试卷结构</w:t>
      </w:r>
    </w:p>
    <w:p>
      <w:pPr>
        <w:spacing w:line="360" w:lineRule="auto"/>
        <w:rPr>
          <w:b/>
          <w:color w:val="000000"/>
          <w:sz w:val="24"/>
        </w:rPr>
      </w:pPr>
      <w:r>
        <w:rPr>
          <w:rFonts w:hAnsi="宋体"/>
          <w:b/>
          <w:color w:val="000000"/>
          <w:sz w:val="24"/>
        </w:rPr>
        <w:t>Ⅲ</w:t>
      </w:r>
      <w:r>
        <w:rPr>
          <w:b/>
          <w:color w:val="000000"/>
          <w:sz w:val="24"/>
        </w:rPr>
        <w:t>、考试内容</w:t>
      </w:r>
    </w:p>
    <w:p>
      <w:pPr>
        <w:spacing w:line="360" w:lineRule="auto"/>
        <w:rPr>
          <w:b/>
          <w:color w:val="000000"/>
          <w:sz w:val="24"/>
        </w:rPr>
      </w:pPr>
      <w:r>
        <w:rPr>
          <w:rFonts w:hAnsi="宋体"/>
          <w:b/>
          <w:color w:val="000000"/>
          <w:sz w:val="24"/>
        </w:rPr>
        <w:t>Ⅳ</w:t>
      </w:r>
      <w:r>
        <w:rPr>
          <w:b/>
          <w:color w:val="000000"/>
          <w:sz w:val="24"/>
        </w:rPr>
        <w:t>、参考书目</w:t>
      </w:r>
    </w:p>
    <w:p>
      <w:pPr>
        <w:spacing w:line="360" w:lineRule="auto"/>
        <w:rPr>
          <w:color w:val="000000"/>
          <w:sz w:val="24"/>
        </w:rPr>
      </w:pPr>
    </w:p>
    <w:p>
      <w:pPr>
        <w:spacing w:line="360" w:lineRule="auto"/>
        <w:rPr>
          <w:b/>
          <w:color w:val="000000"/>
          <w:kern w:val="0"/>
          <w:sz w:val="24"/>
        </w:rPr>
      </w:pPr>
      <w:r>
        <w:rPr>
          <w:rFonts w:hAnsi="宋体"/>
          <w:b/>
          <w:color w:val="000000"/>
          <w:sz w:val="24"/>
        </w:rPr>
        <w:t>Ⅰ</w:t>
      </w:r>
      <w:r>
        <w:rPr>
          <w:rFonts w:hAnsi="宋体"/>
          <w:b/>
          <w:color w:val="000000"/>
          <w:kern w:val="0"/>
          <w:sz w:val="24"/>
        </w:rPr>
        <w:t>、</w:t>
      </w:r>
      <w:r>
        <w:rPr>
          <w:rFonts w:hAnsi="宋体"/>
          <w:b/>
          <w:color w:val="000000"/>
          <w:sz w:val="24"/>
        </w:rPr>
        <w:t>考试目标</w:t>
      </w:r>
    </w:p>
    <w:p>
      <w:pPr>
        <w:snapToGrid w:val="0"/>
        <w:spacing w:line="360" w:lineRule="auto"/>
        <w:ind w:firstLine="480" w:firstLineChars="200"/>
        <w:rPr>
          <w:rFonts w:hint="eastAsia" w:hAnsi="宋体"/>
          <w:color w:val="000000"/>
          <w:sz w:val="24"/>
        </w:rPr>
      </w:pPr>
      <w:r>
        <w:rPr>
          <w:rFonts w:hAnsi="宋体"/>
          <w:color w:val="000000"/>
          <w:sz w:val="24"/>
        </w:rPr>
        <w:t>《高分子化学</w:t>
      </w:r>
      <w:r>
        <w:rPr>
          <w:rFonts w:hint="eastAsia" w:hAnsi="宋体"/>
          <w:color w:val="000000"/>
          <w:sz w:val="24"/>
        </w:rPr>
        <w:t>与物理</w:t>
      </w:r>
      <w:r>
        <w:rPr>
          <w:rFonts w:hAnsi="宋体"/>
          <w:color w:val="000000"/>
          <w:sz w:val="24"/>
        </w:rPr>
        <w:t>》</w:t>
      </w:r>
      <w:r>
        <w:rPr>
          <w:rFonts w:hint="eastAsia" w:hAnsi="宋体"/>
          <w:color w:val="000000"/>
          <w:sz w:val="24"/>
        </w:rPr>
        <w:t>要求考生对高分子</w:t>
      </w:r>
      <w:r>
        <w:rPr>
          <w:rFonts w:hAnsi="宋体"/>
          <w:color w:val="000000"/>
          <w:sz w:val="24"/>
        </w:rPr>
        <w:t>化合物的基本概念，高分子化合物的合成反应原理、</w:t>
      </w:r>
      <w:r>
        <w:rPr>
          <w:rFonts w:hint="eastAsia" w:hAnsi="宋体"/>
          <w:color w:val="000000"/>
          <w:sz w:val="24"/>
        </w:rPr>
        <w:t>实施方法、聚合反应</w:t>
      </w:r>
      <w:r>
        <w:rPr>
          <w:rFonts w:hAnsi="宋体"/>
          <w:color w:val="000000"/>
          <w:sz w:val="24"/>
        </w:rPr>
        <w:t>动力学、</w:t>
      </w:r>
      <w:r>
        <w:rPr>
          <w:rFonts w:hint="eastAsia" w:hAnsi="宋体"/>
          <w:color w:val="000000"/>
          <w:sz w:val="24"/>
        </w:rPr>
        <w:t>高分子链结构、分子运动以及高聚物结构与性能的关系具有较系统的了解。</w:t>
      </w:r>
      <w:r>
        <w:rPr>
          <w:rFonts w:hAnsi="宋体"/>
          <w:color w:val="000000"/>
          <w:sz w:val="24"/>
        </w:rPr>
        <w:t>考查考生系统掌握高分子</w:t>
      </w:r>
      <w:r>
        <w:rPr>
          <w:rFonts w:hint="eastAsia" w:hAnsi="宋体"/>
          <w:color w:val="000000"/>
          <w:sz w:val="24"/>
        </w:rPr>
        <w:t>科学</w:t>
      </w:r>
      <w:r>
        <w:rPr>
          <w:rFonts w:hAnsi="宋体"/>
          <w:color w:val="000000"/>
          <w:sz w:val="24"/>
        </w:rPr>
        <w:t>的基本理论、基本知识和方法的程度，考查考生运用所学的理论、知识和方法分析和解决有关理论和实际问题的能力。</w:t>
      </w:r>
    </w:p>
    <w:p>
      <w:pPr>
        <w:spacing w:line="360" w:lineRule="auto"/>
        <w:rPr>
          <w:rFonts w:hint="eastAsia" w:hAnsi="宋体"/>
          <w:b/>
          <w:color w:val="000000"/>
          <w:sz w:val="24"/>
        </w:rPr>
      </w:pPr>
    </w:p>
    <w:p>
      <w:pPr>
        <w:spacing w:line="360" w:lineRule="auto"/>
        <w:rPr>
          <w:b/>
          <w:color w:val="000000"/>
          <w:kern w:val="0"/>
          <w:sz w:val="24"/>
        </w:rPr>
      </w:pPr>
      <w:r>
        <w:rPr>
          <w:rFonts w:hAnsi="宋体"/>
          <w:b/>
          <w:color w:val="000000"/>
          <w:sz w:val="24"/>
        </w:rPr>
        <w:t>Ⅱ</w:t>
      </w:r>
      <w:r>
        <w:rPr>
          <w:rFonts w:hAnsi="宋体"/>
          <w:b/>
          <w:color w:val="000000"/>
          <w:kern w:val="0"/>
          <w:sz w:val="24"/>
        </w:rPr>
        <w:t>、</w:t>
      </w:r>
      <w:r>
        <w:rPr>
          <w:rFonts w:hAnsi="宋体"/>
          <w:b/>
          <w:color w:val="000000"/>
          <w:sz w:val="24"/>
        </w:rPr>
        <w:t>考试形式和试卷结构</w:t>
      </w:r>
    </w:p>
    <w:p>
      <w:pPr>
        <w:widowControl/>
        <w:shd w:val="clear" w:color="auto" w:fill="FFFFFF"/>
        <w:snapToGrid w:val="0"/>
        <w:spacing w:line="360" w:lineRule="auto"/>
        <w:jc w:val="left"/>
        <w:rPr>
          <w:rFonts w:ascii="宋体" w:hAnsi="宋体" w:cs="宋体"/>
          <w:color w:val="000000"/>
          <w:kern w:val="0"/>
          <w:sz w:val="24"/>
        </w:rPr>
      </w:pPr>
      <w:r>
        <w:rPr>
          <w:rFonts w:hAnsi="宋体"/>
          <w:color w:val="000000"/>
          <w:sz w:val="24"/>
        </w:rPr>
        <w:t>考试形式：闭卷考试</w:t>
      </w:r>
      <w:r>
        <w:rPr>
          <w:rFonts w:hint="eastAsia" w:hAnsi="宋体"/>
          <w:color w:val="000000"/>
          <w:sz w:val="24"/>
        </w:rPr>
        <w:t>；时间</w:t>
      </w:r>
      <w:r>
        <w:rPr>
          <w:color w:val="000000"/>
          <w:sz w:val="24"/>
        </w:rPr>
        <w:t>180</w:t>
      </w:r>
      <w:r>
        <w:rPr>
          <w:rFonts w:hAnsi="宋体"/>
          <w:color w:val="000000"/>
          <w:sz w:val="24"/>
        </w:rPr>
        <w:t>分钟，</w:t>
      </w:r>
      <w:r>
        <w:rPr>
          <w:rFonts w:hint="eastAsia" w:ascii="宋体" w:hAnsi="宋体" w:cs="宋体"/>
          <w:color w:val="000000"/>
          <w:kern w:val="0"/>
          <w:sz w:val="24"/>
        </w:rPr>
        <w:t>试卷满分</w:t>
      </w:r>
      <w:r>
        <w:rPr>
          <w:color w:val="000000"/>
          <w:sz w:val="24"/>
        </w:rPr>
        <w:t>150</w:t>
      </w:r>
      <w:r>
        <w:rPr>
          <w:rFonts w:hAnsi="宋体"/>
          <w:color w:val="000000"/>
          <w:sz w:val="24"/>
        </w:rPr>
        <w:t>分</w:t>
      </w:r>
      <w:r>
        <w:rPr>
          <w:rFonts w:hint="eastAsia" w:hAnsi="宋体"/>
          <w:color w:val="000000"/>
          <w:sz w:val="24"/>
        </w:rPr>
        <w:t>，</w:t>
      </w:r>
      <w:r>
        <w:rPr>
          <w:rFonts w:hint="eastAsia" w:ascii="宋体" w:hAnsi="宋体" w:cs="宋体"/>
          <w:color w:val="000000"/>
          <w:kern w:val="0"/>
          <w:sz w:val="24"/>
        </w:rPr>
        <w:t>高分子化学、高分子物理各75分，题型包括</w:t>
      </w:r>
      <w:r>
        <w:rPr>
          <w:rFonts w:hAnsi="宋体"/>
          <w:color w:val="000000"/>
          <w:kern w:val="0"/>
          <w:sz w:val="24"/>
          <w:lang/>
        </w:rPr>
        <w:t>判断题、填空题、</w:t>
      </w:r>
      <w:r>
        <w:rPr>
          <w:rFonts w:hint="eastAsia" w:hAnsi="宋体"/>
          <w:color w:val="000000"/>
          <w:kern w:val="0"/>
          <w:sz w:val="24"/>
          <w:lang/>
        </w:rPr>
        <w:t>选择题</w:t>
      </w:r>
      <w:r>
        <w:rPr>
          <w:rFonts w:hint="eastAsia" w:ascii="宋体" w:hAnsi="宋体" w:cs="宋体"/>
          <w:color w:val="000000"/>
          <w:kern w:val="0"/>
          <w:sz w:val="24"/>
        </w:rPr>
        <w:t>、问答题和</w:t>
      </w:r>
      <w:r>
        <w:rPr>
          <w:rFonts w:hAnsi="宋体"/>
          <w:color w:val="000000"/>
          <w:kern w:val="0"/>
          <w:sz w:val="24"/>
          <w:lang/>
        </w:rPr>
        <w:t>综合论述题</w:t>
      </w:r>
      <w:r>
        <w:rPr>
          <w:rFonts w:hint="eastAsia" w:hAnsi="宋体"/>
          <w:color w:val="000000"/>
          <w:kern w:val="0"/>
          <w:sz w:val="24"/>
          <w:lang/>
        </w:rPr>
        <w:t>。</w:t>
      </w:r>
      <w:r>
        <w:rPr>
          <w:rFonts w:ascii="宋体" w:hAnsi="宋体" w:cs="宋体"/>
          <w:color w:val="000000"/>
          <w:kern w:val="0"/>
          <w:sz w:val="24"/>
        </w:rPr>
        <w:t xml:space="preserve"> </w:t>
      </w:r>
    </w:p>
    <w:p>
      <w:pPr>
        <w:spacing w:line="360" w:lineRule="auto"/>
        <w:rPr>
          <w:rFonts w:hint="eastAsia"/>
          <w:color w:val="000000"/>
          <w:kern w:val="0"/>
          <w:sz w:val="24"/>
        </w:rPr>
      </w:pPr>
    </w:p>
    <w:p>
      <w:pPr>
        <w:adjustRightInd w:val="0"/>
        <w:snapToGrid w:val="0"/>
        <w:spacing w:line="360" w:lineRule="auto"/>
        <w:rPr>
          <w:rFonts w:hint="eastAsia" w:hAnsi="宋体"/>
          <w:b/>
          <w:color w:val="000000"/>
          <w:sz w:val="24"/>
        </w:rPr>
      </w:pPr>
      <w:r>
        <w:rPr>
          <w:rFonts w:hAnsi="宋体"/>
          <w:b/>
          <w:color w:val="000000"/>
          <w:sz w:val="24"/>
        </w:rPr>
        <w:t>Ⅲ</w:t>
      </w:r>
      <w:r>
        <w:rPr>
          <w:rFonts w:hAnsi="宋体"/>
          <w:b/>
          <w:color w:val="000000"/>
          <w:kern w:val="0"/>
          <w:sz w:val="24"/>
        </w:rPr>
        <w:t>、</w:t>
      </w:r>
      <w:r>
        <w:rPr>
          <w:rFonts w:hAnsi="宋体"/>
          <w:b/>
          <w:color w:val="000000"/>
          <w:sz w:val="24"/>
        </w:rPr>
        <w:t>考试内容</w:t>
      </w:r>
    </w:p>
    <w:p>
      <w:pPr>
        <w:widowControl/>
        <w:shd w:val="clear" w:color="auto" w:fill="FFFFFF"/>
        <w:adjustRightInd w:val="0"/>
        <w:snapToGrid w:val="0"/>
        <w:spacing w:line="360" w:lineRule="auto"/>
        <w:rPr>
          <w:rFonts w:hint="eastAsia" w:ascii="宋体" w:hAnsi="宋体" w:cs="宋体"/>
          <w:b/>
          <w:bCs/>
          <w:color w:val="000000"/>
          <w:kern w:val="0"/>
          <w:sz w:val="28"/>
          <w:szCs w:val="28"/>
        </w:rPr>
      </w:pPr>
      <w:r>
        <w:rPr>
          <w:rFonts w:hint="eastAsia" w:ascii="宋体" w:hAnsi="宋体" w:cs="宋体"/>
          <w:b/>
          <w:color w:val="000000"/>
          <w:kern w:val="0"/>
          <w:sz w:val="24"/>
        </w:rPr>
        <w:t xml:space="preserve">高分子化学部分： </w:t>
      </w:r>
    </w:p>
    <w:p>
      <w:pPr>
        <w:snapToGrid w:val="0"/>
        <w:spacing w:line="360" w:lineRule="auto"/>
        <w:jc w:val="left"/>
        <w:outlineLvl w:val="0"/>
        <w:rPr>
          <w:color w:val="000000"/>
          <w:sz w:val="24"/>
        </w:rPr>
      </w:pPr>
      <w:r>
        <w:rPr>
          <w:rFonts w:hAnsi="宋体"/>
          <w:color w:val="000000"/>
          <w:sz w:val="24"/>
        </w:rPr>
        <w:t>一、绪论</w:t>
      </w:r>
    </w:p>
    <w:p>
      <w:pPr>
        <w:snapToGrid w:val="0"/>
        <w:spacing w:line="360" w:lineRule="auto"/>
        <w:ind w:left="420" w:leftChars="200"/>
        <w:jc w:val="left"/>
        <w:rPr>
          <w:color w:val="000000"/>
          <w:sz w:val="24"/>
        </w:rPr>
      </w:pPr>
      <w:r>
        <w:rPr>
          <w:color w:val="000000"/>
          <w:sz w:val="24"/>
        </w:rPr>
        <w:t>1</w:t>
      </w:r>
      <w:r>
        <w:rPr>
          <w:rFonts w:hint="eastAsia"/>
          <w:color w:val="000000"/>
          <w:sz w:val="24"/>
        </w:rPr>
        <w:t>、</w:t>
      </w:r>
      <w:r>
        <w:rPr>
          <w:rFonts w:hAnsi="宋体"/>
          <w:color w:val="000000"/>
          <w:sz w:val="24"/>
        </w:rPr>
        <w:t>高分子</w:t>
      </w:r>
      <w:r>
        <w:rPr>
          <w:rFonts w:hint="eastAsia" w:hAnsi="宋体"/>
          <w:color w:val="000000"/>
          <w:sz w:val="24"/>
        </w:rPr>
        <w:t>的基本概念</w:t>
      </w:r>
      <w:r>
        <w:rPr>
          <w:rFonts w:hAnsi="宋体"/>
          <w:color w:val="000000"/>
          <w:sz w:val="24"/>
        </w:rPr>
        <w:t>、</w:t>
      </w:r>
      <w:r>
        <w:rPr>
          <w:rFonts w:hint="eastAsia" w:hAnsi="宋体"/>
          <w:color w:val="000000"/>
          <w:sz w:val="24"/>
        </w:rPr>
        <w:t>基本特征和命名方法</w:t>
      </w:r>
      <w:r>
        <w:rPr>
          <w:rFonts w:hAnsi="宋体"/>
          <w:color w:val="000000"/>
          <w:sz w:val="24"/>
        </w:rPr>
        <w:t>；</w:t>
      </w:r>
    </w:p>
    <w:p>
      <w:pPr>
        <w:snapToGrid w:val="0"/>
        <w:spacing w:line="360" w:lineRule="auto"/>
        <w:ind w:left="420" w:leftChars="200"/>
        <w:jc w:val="left"/>
        <w:rPr>
          <w:rFonts w:hint="eastAsia"/>
          <w:color w:val="000000"/>
          <w:sz w:val="24"/>
        </w:rPr>
      </w:pPr>
      <w:r>
        <w:rPr>
          <w:color w:val="000000"/>
          <w:sz w:val="24"/>
        </w:rPr>
        <w:t>2</w:t>
      </w:r>
      <w:r>
        <w:rPr>
          <w:rFonts w:hint="eastAsia"/>
          <w:color w:val="000000"/>
          <w:sz w:val="24"/>
        </w:rPr>
        <w:t>、</w:t>
      </w:r>
      <w:r>
        <w:rPr>
          <w:rFonts w:hAnsi="宋体"/>
          <w:color w:val="000000"/>
          <w:sz w:val="24"/>
        </w:rPr>
        <w:t>聚合物的结构单元、</w:t>
      </w:r>
      <w:r>
        <w:rPr>
          <w:rFonts w:hint="eastAsia" w:hAnsi="宋体"/>
          <w:color w:val="000000"/>
          <w:sz w:val="24"/>
        </w:rPr>
        <w:t>重复</w:t>
      </w:r>
      <w:r>
        <w:rPr>
          <w:rFonts w:hAnsi="宋体"/>
          <w:color w:val="000000"/>
          <w:sz w:val="24"/>
        </w:rPr>
        <w:t>单元、聚合度、</w:t>
      </w:r>
      <w:r>
        <w:rPr>
          <w:rFonts w:hint="eastAsia" w:hAnsi="宋体"/>
          <w:color w:val="000000"/>
          <w:sz w:val="24"/>
        </w:rPr>
        <w:t>平均相对分子质量</w:t>
      </w:r>
      <w:r>
        <w:rPr>
          <w:rFonts w:hAnsi="宋体"/>
          <w:color w:val="000000"/>
          <w:sz w:val="24"/>
        </w:rPr>
        <w:t>、</w:t>
      </w:r>
      <w:r>
        <w:rPr>
          <w:rFonts w:hint="eastAsia" w:hAnsi="宋体"/>
          <w:color w:val="000000"/>
          <w:sz w:val="24"/>
        </w:rPr>
        <w:t>分散指数</w:t>
      </w:r>
      <w:r>
        <w:rPr>
          <w:rFonts w:hAnsi="宋体"/>
          <w:color w:val="000000"/>
          <w:sz w:val="24"/>
        </w:rPr>
        <w:t>等术语</w:t>
      </w:r>
      <w:r>
        <w:rPr>
          <w:rFonts w:hint="eastAsia" w:hAnsi="宋体"/>
          <w:color w:val="000000"/>
          <w:sz w:val="24"/>
        </w:rPr>
        <w:t>的</w:t>
      </w:r>
      <w:r>
        <w:rPr>
          <w:rFonts w:hAnsi="宋体"/>
          <w:color w:val="000000"/>
          <w:sz w:val="24"/>
        </w:rPr>
        <w:t>定义；</w:t>
      </w:r>
    </w:p>
    <w:p>
      <w:pPr>
        <w:snapToGrid w:val="0"/>
        <w:spacing w:line="360" w:lineRule="auto"/>
        <w:ind w:left="420" w:leftChars="200"/>
        <w:jc w:val="left"/>
        <w:rPr>
          <w:rFonts w:hint="eastAsia"/>
          <w:color w:val="000000"/>
          <w:sz w:val="24"/>
        </w:rPr>
      </w:pPr>
      <w:r>
        <w:rPr>
          <w:rFonts w:hAnsi="宋体"/>
          <w:color w:val="000000"/>
          <w:sz w:val="24"/>
        </w:rPr>
        <w:t>3</w:t>
      </w:r>
      <w:r>
        <w:rPr>
          <w:rFonts w:hint="eastAsia"/>
          <w:color w:val="000000"/>
          <w:sz w:val="24"/>
        </w:rPr>
        <w:t>、</w:t>
      </w:r>
      <w:r>
        <w:rPr>
          <w:rFonts w:hint="eastAsia" w:hAnsi="宋体"/>
          <w:color w:val="000000"/>
          <w:sz w:val="24"/>
        </w:rPr>
        <w:t>聚合反应的分类；</w:t>
      </w:r>
    </w:p>
    <w:p>
      <w:pPr>
        <w:snapToGrid w:val="0"/>
        <w:spacing w:line="360" w:lineRule="auto"/>
        <w:ind w:left="420" w:leftChars="200"/>
        <w:jc w:val="left"/>
        <w:rPr>
          <w:rFonts w:hint="eastAsia" w:hAnsi="宋体"/>
          <w:color w:val="000000"/>
          <w:sz w:val="24"/>
        </w:rPr>
      </w:pPr>
      <w:r>
        <w:rPr>
          <w:color w:val="000000"/>
          <w:sz w:val="24"/>
        </w:rPr>
        <w:t>4</w:t>
      </w:r>
      <w:r>
        <w:rPr>
          <w:rFonts w:hint="eastAsia"/>
          <w:color w:val="000000"/>
          <w:sz w:val="24"/>
        </w:rPr>
        <w:t>、</w:t>
      </w:r>
      <w:r>
        <w:rPr>
          <w:rFonts w:hAnsi="宋体"/>
          <w:color w:val="000000"/>
          <w:sz w:val="24"/>
        </w:rPr>
        <w:t>聚合物分子量和分子量分布的概念，数均分子量和重均分子量的计算;</w:t>
      </w:r>
    </w:p>
    <w:p>
      <w:pPr>
        <w:snapToGrid w:val="0"/>
        <w:spacing w:line="360" w:lineRule="auto"/>
        <w:ind w:left="420" w:leftChars="200"/>
        <w:jc w:val="left"/>
        <w:rPr>
          <w:rFonts w:hint="eastAsia" w:hAnsi="宋体"/>
          <w:color w:val="000000"/>
          <w:sz w:val="24"/>
        </w:rPr>
      </w:pPr>
      <w:r>
        <w:rPr>
          <w:rFonts w:hAnsi="宋体"/>
          <w:color w:val="000000"/>
          <w:sz w:val="24"/>
        </w:rPr>
        <w:t>5</w:t>
      </w:r>
      <w:r>
        <w:rPr>
          <w:rFonts w:hint="eastAsia" w:hAnsi="宋体"/>
          <w:color w:val="000000"/>
          <w:sz w:val="24"/>
        </w:rPr>
        <w:t>、了解高分子科学及其发展历史.</w:t>
      </w:r>
    </w:p>
    <w:p>
      <w:pPr>
        <w:snapToGrid w:val="0"/>
        <w:spacing w:line="360" w:lineRule="auto"/>
        <w:jc w:val="center"/>
        <w:rPr>
          <w:color w:val="000000"/>
          <w:sz w:val="24"/>
        </w:rPr>
      </w:pPr>
    </w:p>
    <w:p>
      <w:pPr>
        <w:snapToGrid w:val="0"/>
        <w:spacing w:line="360" w:lineRule="auto"/>
        <w:outlineLvl w:val="0"/>
        <w:rPr>
          <w:color w:val="000000"/>
          <w:sz w:val="24"/>
        </w:rPr>
      </w:pPr>
      <w:r>
        <w:rPr>
          <w:rFonts w:hAnsi="宋体"/>
          <w:color w:val="000000"/>
          <w:sz w:val="24"/>
        </w:rPr>
        <w:t>二、</w:t>
      </w:r>
      <w:r>
        <w:rPr>
          <w:rFonts w:hint="eastAsia" w:hAnsi="宋体"/>
          <w:color w:val="000000"/>
          <w:sz w:val="24"/>
        </w:rPr>
        <w:t>缩聚和</w:t>
      </w:r>
      <w:r>
        <w:rPr>
          <w:rFonts w:hAnsi="宋体"/>
          <w:color w:val="000000"/>
          <w:sz w:val="24"/>
        </w:rPr>
        <w:t>逐步聚合反应</w:t>
      </w:r>
      <w:r>
        <w:rPr>
          <w:color w:val="000000"/>
          <w:sz w:val="24"/>
        </w:rPr>
        <w:t xml:space="preserve">  </w:t>
      </w:r>
    </w:p>
    <w:p>
      <w:pPr>
        <w:snapToGrid w:val="0"/>
        <w:spacing w:line="360" w:lineRule="auto"/>
        <w:ind w:left="420" w:leftChars="200"/>
        <w:rPr>
          <w:color w:val="000000"/>
          <w:sz w:val="24"/>
        </w:rPr>
      </w:pPr>
      <w:r>
        <w:rPr>
          <w:color w:val="000000"/>
          <w:sz w:val="24"/>
        </w:rPr>
        <w:t>1</w:t>
      </w:r>
      <w:r>
        <w:rPr>
          <w:rFonts w:hint="eastAsia"/>
          <w:color w:val="000000"/>
          <w:sz w:val="24"/>
        </w:rPr>
        <w:t>、逐步聚合反应类型和分类，线性缩聚和体型缩聚反应</w:t>
      </w:r>
    </w:p>
    <w:p>
      <w:pPr>
        <w:snapToGrid w:val="0"/>
        <w:spacing w:line="360" w:lineRule="auto"/>
        <w:ind w:left="420" w:leftChars="200"/>
        <w:rPr>
          <w:rFonts w:hint="eastAsia" w:hAnsi="宋体"/>
          <w:color w:val="000000"/>
          <w:sz w:val="24"/>
        </w:rPr>
      </w:pPr>
      <w:r>
        <w:rPr>
          <w:rFonts w:hAnsi="宋体"/>
          <w:color w:val="000000"/>
          <w:sz w:val="24"/>
        </w:rPr>
        <w:t>2</w:t>
      </w:r>
      <w:r>
        <w:rPr>
          <w:rFonts w:hint="eastAsia" w:hAnsi="宋体"/>
          <w:color w:val="000000"/>
          <w:sz w:val="24"/>
        </w:rPr>
        <w:t>、单体官能度和平均官能度的概念和计算</w:t>
      </w:r>
    </w:p>
    <w:p>
      <w:pPr>
        <w:snapToGrid w:val="0"/>
        <w:spacing w:line="360" w:lineRule="auto"/>
        <w:ind w:left="420" w:leftChars="200"/>
        <w:rPr>
          <w:rFonts w:hAnsi="宋体"/>
          <w:color w:val="000000"/>
          <w:sz w:val="24"/>
        </w:rPr>
      </w:pPr>
      <w:r>
        <w:rPr>
          <w:rFonts w:hAnsi="宋体"/>
          <w:color w:val="000000"/>
          <w:sz w:val="24"/>
        </w:rPr>
        <w:t>3</w:t>
      </w:r>
      <w:r>
        <w:rPr>
          <w:rFonts w:hint="eastAsia" w:hAnsi="宋体"/>
          <w:color w:val="000000"/>
          <w:sz w:val="24"/>
        </w:rPr>
        <w:t>、缩聚反应的可逆平衡性</w:t>
      </w:r>
    </w:p>
    <w:p>
      <w:pPr>
        <w:snapToGrid w:val="0"/>
        <w:spacing w:line="360" w:lineRule="auto"/>
        <w:ind w:left="420" w:leftChars="200"/>
        <w:rPr>
          <w:rFonts w:hAnsi="宋体"/>
          <w:color w:val="000000"/>
          <w:sz w:val="24"/>
        </w:rPr>
      </w:pPr>
      <w:r>
        <w:rPr>
          <w:color w:val="000000"/>
          <w:sz w:val="24"/>
        </w:rPr>
        <w:t>4</w:t>
      </w:r>
      <w:r>
        <w:rPr>
          <w:rFonts w:hint="eastAsia"/>
          <w:color w:val="000000"/>
          <w:sz w:val="24"/>
        </w:rPr>
        <w:t>、</w:t>
      </w:r>
      <w:r>
        <w:rPr>
          <w:rFonts w:hAnsi="宋体"/>
          <w:color w:val="000000"/>
          <w:sz w:val="24"/>
        </w:rPr>
        <w:t>线型缩聚反应中官能团等活性假设</w:t>
      </w:r>
      <w:r>
        <w:rPr>
          <w:rFonts w:hint="eastAsia" w:hAnsi="宋体"/>
          <w:color w:val="000000"/>
          <w:sz w:val="24"/>
        </w:rPr>
        <w:t>，</w:t>
      </w:r>
      <w:r>
        <w:rPr>
          <w:rFonts w:hAnsi="宋体"/>
          <w:color w:val="000000"/>
          <w:sz w:val="24"/>
        </w:rPr>
        <w:t>反应程度与聚合度的关系</w:t>
      </w:r>
    </w:p>
    <w:p>
      <w:pPr>
        <w:snapToGrid w:val="0"/>
        <w:spacing w:line="360" w:lineRule="auto"/>
        <w:ind w:left="420" w:leftChars="200"/>
        <w:rPr>
          <w:rFonts w:hAnsi="宋体"/>
          <w:color w:val="000000"/>
          <w:sz w:val="24"/>
        </w:rPr>
      </w:pPr>
      <w:r>
        <w:rPr>
          <w:color w:val="000000"/>
          <w:sz w:val="24"/>
        </w:rPr>
        <w:t>5</w:t>
      </w:r>
      <w:r>
        <w:rPr>
          <w:rFonts w:hint="eastAsia"/>
          <w:color w:val="000000"/>
          <w:sz w:val="24"/>
        </w:rPr>
        <w:t>、</w:t>
      </w:r>
      <w:r>
        <w:rPr>
          <w:rFonts w:hint="eastAsia" w:hAnsi="宋体"/>
          <w:color w:val="000000"/>
          <w:sz w:val="24"/>
        </w:rPr>
        <w:t>平衡常数对聚合度的影响（缩聚平衡方程），线型缩聚物分子量的控制</w:t>
      </w:r>
    </w:p>
    <w:p>
      <w:pPr>
        <w:snapToGrid w:val="0"/>
        <w:spacing w:line="360" w:lineRule="auto"/>
        <w:ind w:left="420" w:leftChars="200"/>
        <w:rPr>
          <w:rFonts w:hAnsi="宋体"/>
          <w:color w:val="000000"/>
          <w:sz w:val="24"/>
        </w:rPr>
      </w:pPr>
      <w:r>
        <w:rPr>
          <w:color w:val="000000"/>
          <w:sz w:val="24"/>
        </w:rPr>
        <w:t>6</w:t>
      </w:r>
      <w:r>
        <w:rPr>
          <w:rFonts w:hint="eastAsia"/>
          <w:color w:val="000000"/>
          <w:sz w:val="24"/>
        </w:rPr>
        <w:t>、</w:t>
      </w:r>
      <w:r>
        <w:rPr>
          <w:rFonts w:hint="eastAsia" w:hAnsi="宋体"/>
          <w:color w:val="000000"/>
          <w:sz w:val="24"/>
        </w:rPr>
        <w:t>体形逐步聚合体系，凝胶化现象</w:t>
      </w:r>
      <w:r>
        <w:rPr>
          <w:rFonts w:hAnsi="宋体"/>
          <w:color w:val="000000"/>
          <w:sz w:val="24"/>
        </w:rPr>
        <w:t>；</w:t>
      </w:r>
    </w:p>
    <w:p>
      <w:pPr>
        <w:snapToGrid w:val="0"/>
        <w:spacing w:line="360" w:lineRule="auto"/>
        <w:ind w:left="420" w:leftChars="200"/>
        <w:rPr>
          <w:rFonts w:hint="eastAsia"/>
          <w:color w:val="000000"/>
          <w:sz w:val="24"/>
        </w:rPr>
      </w:pPr>
      <w:r>
        <w:rPr>
          <w:rFonts w:hAnsi="宋体"/>
          <w:color w:val="000000"/>
          <w:sz w:val="24"/>
        </w:rPr>
        <w:t>7</w:t>
      </w:r>
      <w:r>
        <w:rPr>
          <w:rFonts w:hint="eastAsia" w:hAnsi="宋体"/>
          <w:color w:val="000000"/>
          <w:sz w:val="24"/>
        </w:rPr>
        <w:t>、</w:t>
      </w:r>
      <w:r>
        <w:rPr>
          <w:rFonts w:hint="eastAsia"/>
          <w:color w:val="000000"/>
          <w:sz w:val="24"/>
        </w:rPr>
        <w:t>Carothers法和Flory统计法预测凝胶点的理论基础，支化系数α和临界支化系数的概念</w:t>
      </w:r>
    </w:p>
    <w:p>
      <w:pPr>
        <w:snapToGrid w:val="0"/>
        <w:spacing w:line="360" w:lineRule="auto"/>
        <w:ind w:left="420" w:leftChars="200"/>
        <w:rPr>
          <w:rFonts w:hint="eastAsia"/>
          <w:color w:val="000000"/>
          <w:sz w:val="24"/>
        </w:rPr>
      </w:pPr>
      <w:r>
        <w:rPr>
          <w:color w:val="000000"/>
          <w:sz w:val="24"/>
        </w:rPr>
        <w:t>8</w:t>
      </w:r>
      <w:r>
        <w:rPr>
          <w:rFonts w:hint="eastAsia"/>
          <w:color w:val="000000"/>
          <w:sz w:val="24"/>
        </w:rPr>
        <w:t>、</w:t>
      </w:r>
      <w:r>
        <w:rPr>
          <w:rFonts w:hAnsi="宋体"/>
          <w:color w:val="000000"/>
          <w:sz w:val="24"/>
        </w:rPr>
        <w:t>缩聚反应的实施方法</w:t>
      </w:r>
      <w:r>
        <w:rPr>
          <w:rFonts w:hint="eastAsia" w:hAnsi="宋体"/>
          <w:color w:val="000000"/>
          <w:sz w:val="24"/>
        </w:rPr>
        <w:t>。</w:t>
      </w:r>
    </w:p>
    <w:p>
      <w:pPr>
        <w:snapToGrid w:val="0"/>
        <w:spacing w:line="360" w:lineRule="auto"/>
        <w:ind w:firstLine="480" w:firstLineChars="200"/>
        <w:rPr>
          <w:color w:val="000000"/>
          <w:sz w:val="24"/>
        </w:rPr>
      </w:pPr>
    </w:p>
    <w:p>
      <w:pPr>
        <w:snapToGrid w:val="0"/>
        <w:spacing w:line="360" w:lineRule="auto"/>
        <w:outlineLvl w:val="0"/>
        <w:rPr>
          <w:rFonts w:hAnsi="宋体"/>
          <w:color w:val="000000"/>
          <w:sz w:val="24"/>
        </w:rPr>
      </w:pPr>
      <w:r>
        <w:rPr>
          <w:rFonts w:hAnsi="宋体"/>
          <w:color w:val="000000"/>
          <w:sz w:val="24"/>
        </w:rPr>
        <w:t>三、自由基聚合</w:t>
      </w:r>
    </w:p>
    <w:p>
      <w:pPr>
        <w:snapToGrid w:val="0"/>
        <w:spacing w:line="360" w:lineRule="auto"/>
        <w:ind w:left="360"/>
        <w:outlineLvl w:val="0"/>
        <w:rPr>
          <w:color w:val="000000"/>
        </w:rPr>
      </w:pPr>
      <w:r>
        <w:rPr>
          <w:rFonts w:hint="eastAsia" w:hAnsi="宋体"/>
          <w:color w:val="000000"/>
          <w:sz w:val="24"/>
        </w:rPr>
        <w:t>1</w:t>
      </w:r>
      <w:r>
        <w:rPr>
          <w:rFonts w:hint="eastAsia"/>
          <w:color w:val="000000"/>
          <w:sz w:val="24"/>
        </w:rPr>
        <w:t>、</w:t>
      </w:r>
      <w:r>
        <w:rPr>
          <w:rFonts w:hint="eastAsia" w:hAnsi="宋体"/>
          <w:color w:val="000000"/>
          <w:sz w:val="24"/>
        </w:rPr>
        <w:t>链式聚合反应概念、特征和发生的条件</w:t>
      </w:r>
    </w:p>
    <w:p>
      <w:pPr>
        <w:snapToGrid w:val="0"/>
        <w:spacing w:line="360" w:lineRule="auto"/>
        <w:ind w:left="540" w:hanging="180"/>
        <w:outlineLvl w:val="0"/>
        <w:rPr>
          <w:rFonts w:hint="eastAsia" w:hAnsi="宋体"/>
          <w:color w:val="000000"/>
          <w:sz w:val="24"/>
        </w:rPr>
      </w:pPr>
      <w:r>
        <w:rPr>
          <w:rFonts w:hAnsi="宋体"/>
          <w:color w:val="000000"/>
          <w:sz w:val="24"/>
        </w:rPr>
        <w:t>2</w:t>
      </w:r>
      <w:r>
        <w:rPr>
          <w:rFonts w:hint="eastAsia" w:hAnsi="宋体"/>
          <w:color w:val="000000"/>
          <w:sz w:val="24"/>
        </w:rPr>
        <w:t>、影响自由基活性的因素，自由基的化学反应，烯类</w:t>
      </w:r>
      <w:r>
        <w:rPr>
          <w:rFonts w:hAnsi="宋体"/>
          <w:color w:val="000000"/>
          <w:sz w:val="24"/>
        </w:rPr>
        <w:t>单体结构与</w:t>
      </w:r>
      <w:r>
        <w:rPr>
          <w:rFonts w:hint="eastAsia" w:hAnsi="宋体"/>
          <w:color w:val="000000"/>
          <w:sz w:val="24"/>
        </w:rPr>
        <w:t>对聚合类型的选择性</w:t>
      </w:r>
    </w:p>
    <w:p>
      <w:pPr>
        <w:snapToGrid w:val="0"/>
        <w:spacing w:line="360" w:lineRule="auto"/>
        <w:ind w:left="540" w:hanging="180"/>
        <w:outlineLvl w:val="0"/>
        <w:rPr>
          <w:color w:val="000000"/>
        </w:rPr>
      </w:pPr>
      <w:r>
        <w:rPr>
          <w:rFonts w:hint="eastAsia" w:hAnsi="宋体"/>
          <w:color w:val="000000"/>
          <w:sz w:val="24"/>
        </w:rPr>
        <w:t>3、</w:t>
      </w:r>
      <w:r>
        <w:rPr>
          <w:rFonts w:hAnsi="宋体"/>
          <w:color w:val="000000"/>
          <w:sz w:val="24"/>
        </w:rPr>
        <w:t>自由基聚合的基元反应，引发剂</w:t>
      </w:r>
      <w:r>
        <w:rPr>
          <w:rFonts w:hint="eastAsia" w:hAnsi="宋体"/>
          <w:color w:val="000000"/>
          <w:sz w:val="24"/>
        </w:rPr>
        <w:t>、</w:t>
      </w:r>
      <w:r>
        <w:rPr>
          <w:rFonts w:hAnsi="宋体"/>
          <w:color w:val="000000"/>
          <w:sz w:val="24"/>
        </w:rPr>
        <w:t>引发反应</w:t>
      </w:r>
      <w:r>
        <w:rPr>
          <w:rFonts w:hint="eastAsia" w:hAnsi="宋体"/>
          <w:color w:val="000000"/>
          <w:sz w:val="24"/>
        </w:rPr>
        <w:t>与</w:t>
      </w:r>
      <w:r>
        <w:rPr>
          <w:rFonts w:hAnsi="宋体"/>
          <w:color w:val="000000"/>
          <w:sz w:val="24"/>
        </w:rPr>
        <w:t>引发效率；</w:t>
      </w:r>
    </w:p>
    <w:p>
      <w:pPr>
        <w:snapToGrid w:val="0"/>
        <w:spacing w:line="360" w:lineRule="auto"/>
        <w:ind w:left="359" w:leftChars="171"/>
        <w:rPr>
          <w:rFonts w:hint="eastAsia" w:hAnsi="宋体"/>
          <w:color w:val="000000"/>
          <w:sz w:val="24"/>
        </w:rPr>
      </w:pPr>
      <w:r>
        <w:rPr>
          <w:color w:val="000000"/>
          <w:sz w:val="24"/>
        </w:rPr>
        <w:t>4</w:t>
      </w:r>
      <w:r>
        <w:rPr>
          <w:rFonts w:hint="eastAsia"/>
          <w:color w:val="000000"/>
          <w:sz w:val="24"/>
        </w:rPr>
        <w:t>、</w:t>
      </w:r>
      <w:r>
        <w:rPr>
          <w:rFonts w:hAnsi="宋体"/>
          <w:color w:val="000000"/>
          <w:sz w:val="24"/>
        </w:rPr>
        <w:t>自由基聚合反应动力学，</w:t>
      </w:r>
      <w:r>
        <w:rPr>
          <w:rFonts w:hint="eastAsia" w:hAnsi="宋体"/>
          <w:color w:val="000000"/>
          <w:sz w:val="24"/>
        </w:rPr>
        <w:t>稳态期</w:t>
      </w:r>
      <w:r>
        <w:rPr>
          <w:rFonts w:hAnsi="宋体"/>
          <w:color w:val="000000"/>
          <w:sz w:val="24"/>
        </w:rPr>
        <w:t>聚合速率方程，自动加速现象</w:t>
      </w:r>
      <w:r>
        <w:rPr>
          <w:rFonts w:hint="eastAsia" w:hAnsi="宋体"/>
          <w:color w:val="000000"/>
          <w:sz w:val="24"/>
        </w:rPr>
        <w:t>及原因</w:t>
      </w:r>
      <w:r>
        <w:rPr>
          <w:rFonts w:hAnsi="宋体"/>
          <w:color w:val="000000"/>
          <w:sz w:val="24"/>
        </w:rPr>
        <w:t>；</w:t>
      </w:r>
    </w:p>
    <w:p>
      <w:pPr>
        <w:snapToGrid w:val="0"/>
        <w:spacing w:line="360" w:lineRule="auto"/>
        <w:ind w:left="360"/>
        <w:rPr>
          <w:color w:val="000000"/>
          <w:sz w:val="24"/>
        </w:rPr>
      </w:pPr>
      <w:r>
        <w:rPr>
          <w:rFonts w:hint="eastAsia"/>
          <w:color w:val="000000"/>
          <w:sz w:val="24"/>
        </w:rPr>
        <w:t>5、阻聚剂以及烯丙基单体的自阻聚作用</w:t>
      </w:r>
    </w:p>
    <w:p>
      <w:pPr>
        <w:snapToGrid w:val="0"/>
        <w:spacing w:line="360" w:lineRule="auto"/>
        <w:ind w:left="360"/>
        <w:rPr>
          <w:color w:val="000000"/>
          <w:sz w:val="24"/>
        </w:rPr>
      </w:pPr>
      <w:r>
        <w:rPr>
          <w:color w:val="000000"/>
          <w:sz w:val="24"/>
        </w:rPr>
        <w:t>6</w:t>
      </w:r>
      <w:r>
        <w:rPr>
          <w:rFonts w:hint="eastAsia"/>
          <w:color w:val="000000"/>
          <w:sz w:val="24"/>
        </w:rPr>
        <w:t>、动力学链长和聚合度的关系</w:t>
      </w:r>
    </w:p>
    <w:p>
      <w:pPr>
        <w:snapToGrid w:val="0"/>
        <w:spacing w:line="360" w:lineRule="auto"/>
        <w:ind w:left="360"/>
        <w:rPr>
          <w:color w:val="000000"/>
          <w:sz w:val="24"/>
        </w:rPr>
      </w:pPr>
      <w:r>
        <w:rPr>
          <w:color w:val="000000"/>
          <w:sz w:val="24"/>
        </w:rPr>
        <w:t>7</w:t>
      </w:r>
      <w:r>
        <w:rPr>
          <w:rFonts w:hint="eastAsia"/>
          <w:color w:val="000000"/>
          <w:sz w:val="24"/>
        </w:rPr>
        <w:t>、链转移反应对聚合速率和聚合度的影响，链转移常数的概念</w:t>
      </w:r>
    </w:p>
    <w:p>
      <w:pPr>
        <w:snapToGrid w:val="0"/>
        <w:spacing w:line="360" w:lineRule="auto"/>
        <w:ind w:left="360"/>
        <w:rPr>
          <w:color w:val="000000"/>
          <w:sz w:val="24"/>
        </w:rPr>
      </w:pPr>
      <w:r>
        <w:rPr>
          <w:color w:val="000000"/>
          <w:sz w:val="24"/>
        </w:rPr>
        <w:t>8</w:t>
      </w:r>
      <w:r>
        <w:rPr>
          <w:rFonts w:hint="eastAsia"/>
          <w:color w:val="000000"/>
          <w:sz w:val="24"/>
        </w:rPr>
        <w:t>、自由基聚合实施方法</w:t>
      </w:r>
    </w:p>
    <w:p>
      <w:pPr>
        <w:snapToGrid w:val="0"/>
        <w:spacing w:line="360" w:lineRule="auto"/>
        <w:outlineLvl w:val="0"/>
        <w:rPr>
          <w:color w:val="000000"/>
          <w:sz w:val="24"/>
        </w:rPr>
      </w:pPr>
      <w:r>
        <w:rPr>
          <w:rFonts w:hint="eastAsia" w:hAnsi="宋体"/>
          <w:color w:val="000000"/>
          <w:sz w:val="24"/>
        </w:rPr>
        <w:t>四</w:t>
      </w:r>
      <w:r>
        <w:rPr>
          <w:rFonts w:hAnsi="宋体"/>
          <w:color w:val="000000"/>
          <w:sz w:val="24"/>
        </w:rPr>
        <w:t>、</w:t>
      </w:r>
      <w:r>
        <w:rPr>
          <w:rFonts w:hint="eastAsia" w:hAnsi="宋体"/>
          <w:color w:val="000000"/>
          <w:sz w:val="24"/>
        </w:rPr>
        <w:t>共聚合</w:t>
      </w:r>
      <w:r>
        <w:rPr>
          <w:rFonts w:hint="eastAsia"/>
          <w:color w:val="000000"/>
          <w:sz w:val="24"/>
        </w:rPr>
        <w:t>反应</w:t>
      </w:r>
    </w:p>
    <w:p>
      <w:pPr>
        <w:snapToGrid w:val="0"/>
        <w:spacing w:line="360" w:lineRule="auto"/>
        <w:ind w:left="420" w:leftChars="200"/>
        <w:rPr>
          <w:rFonts w:hint="eastAsia"/>
          <w:color w:val="000000"/>
          <w:sz w:val="24"/>
        </w:rPr>
      </w:pPr>
      <w:r>
        <w:rPr>
          <w:rFonts w:hint="eastAsia"/>
          <w:color w:val="000000"/>
          <w:sz w:val="24"/>
        </w:rPr>
        <w:t>1、共聚物三要素，了解共聚合反应类型及重要性；</w:t>
      </w:r>
    </w:p>
    <w:p>
      <w:pPr>
        <w:snapToGrid w:val="0"/>
        <w:spacing w:line="360" w:lineRule="auto"/>
        <w:ind w:left="420" w:leftChars="200"/>
        <w:rPr>
          <w:color w:val="000000"/>
          <w:sz w:val="24"/>
        </w:rPr>
      </w:pPr>
      <w:r>
        <w:rPr>
          <w:color w:val="000000"/>
          <w:sz w:val="24"/>
        </w:rPr>
        <w:t>2</w:t>
      </w:r>
      <w:r>
        <w:rPr>
          <w:rFonts w:hint="eastAsia"/>
          <w:color w:val="000000"/>
          <w:sz w:val="24"/>
        </w:rPr>
        <w:t>、</w:t>
      </w:r>
      <w:r>
        <w:rPr>
          <w:rFonts w:hint="eastAsia" w:hAnsi="宋体"/>
          <w:color w:val="000000"/>
          <w:sz w:val="24"/>
        </w:rPr>
        <w:t>二元共聚物组成微分方程和共聚物组成摩尔分数方程</w:t>
      </w:r>
      <w:r>
        <w:rPr>
          <w:rFonts w:hAnsi="宋体"/>
          <w:color w:val="000000"/>
          <w:sz w:val="24"/>
        </w:rPr>
        <w:t>；</w:t>
      </w:r>
    </w:p>
    <w:p>
      <w:pPr>
        <w:snapToGrid w:val="0"/>
        <w:spacing w:line="360" w:lineRule="auto"/>
        <w:ind w:left="420" w:leftChars="200"/>
        <w:rPr>
          <w:rFonts w:hAnsi="宋体"/>
          <w:color w:val="000000"/>
          <w:sz w:val="24"/>
        </w:rPr>
      </w:pPr>
      <w:r>
        <w:rPr>
          <w:color w:val="000000"/>
          <w:sz w:val="24"/>
        </w:rPr>
        <w:t>3</w:t>
      </w:r>
      <w:r>
        <w:rPr>
          <w:rFonts w:hint="eastAsia"/>
          <w:color w:val="000000"/>
          <w:sz w:val="24"/>
        </w:rPr>
        <w:t>、</w:t>
      </w:r>
      <w:r>
        <w:rPr>
          <w:rFonts w:hint="eastAsia" w:hAnsi="宋体"/>
          <w:color w:val="000000"/>
          <w:sz w:val="24"/>
        </w:rPr>
        <w:t>共聚曲线图，共聚物组成与转化率的关系，控制共聚物组成的方法；</w:t>
      </w:r>
    </w:p>
    <w:p>
      <w:pPr>
        <w:snapToGrid w:val="0"/>
        <w:spacing w:line="360" w:lineRule="auto"/>
        <w:ind w:left="420" w:leftChars="200"/>
        <w:rPr>
          <w:color w:val="000000"/>
          <w:sz w:val="24"/>
        </w:rPr>
      </w:pPr>
      <w:r>
        <w:rPr>
          <w:color w:val="000000"/>
          <w:sz w:val="24"/>
        </w:rPr>
        <w:t>4</w:t>
      </w:r>
      <w:r>
        <w:rPr>
          <w:rFonts w:hint="eastAsia"/>
          <w:color w:val="000000"/>
          <w:sz w:val="24"/>
        </w:rPr>
        <w:t>、单体竞聚率的定义、测定及影响；</w:t>
      </w:r>
    </w:p>
    <w:p>
      <w:pPr>
        <w:snapToGrid w:val="0"/>
        <w:spacing w:line="360" w:lineRule="auto"/>
        <w:ind w:left="420" w:leftChars="200"/>
        <w:rPr>
          <w:rFonts w:hint="eastAsia"/>
          <w:color w:val="000000"/>
          <w:sz w:val="24"/>
        </w:rPr>
      </w:pPr>
      <w:r>
        <w:rPr>
          <w:rFonts w:hint="eastAsia"/>
          <w:color w:val="000000"/>
          <w:sz w:val="24"/>
        </w:rPr>
        <w:t>5、单体结构，Q、e值对单体聚合反应活性的影响；</w:t>
      </w:r>
    </w:p>
    <w:p>
      <w:pPr>
        <w:snapToGrid w:val="0"/>
        <w:spacing w:line="360" w:lineRule="auto"/>
        <w:ind w:left="420" w:leftChars="200"/>
        <w:rPr>
          <w:rFonts w:hint="eastAsia"/>
          <w:color w:val="000000"/>
          <w:sz w:val="24"/>
        </w:rPr>
      </w:pPr>
      <w:r>
        <w:rPr>
          <w:color w:val="000000"/>
          <w:sz w:val="24"/>
        </w:rPr>
        <w:t>6</w:t>
      </w:r>
      <w:r>
        <w:rPr>
          <w:rFonts w:hint="eastAsia"/>
          <w:color w:val="000000"/>
          <w:sz w:val="24"/>
        </w:rPr>
        <w:t>、单体共聚原则。</w:t>
      </w:r>
    </w:p>
    <w:p>
      <w:pPr>
        <w:snapToGrid w:val="0"/>
        <w:spacing w:line="360" w:lineRule="auto"/>
        <w:rPr>
          <w:color w:val="000000"/>
          <w:sz w:val="24"/>
        </w:rPr>
      </w:pPr>
    </w:p>
    <w:p>
      <w:pPr>
        <w:snapToGrid w:val="0"/>
        <w:spacing w:line="360" w:lineRule="auto"/>
        <w:jc w:val="left"/>
        <w:outlineLvl w:val="0"/>
        <w:rPr>
          <w:color w:val="000000"/>
          <w:sz w:val="24"/>
        </w:rPr>
      </w:pPr>
      <w:r>
        <w:rPr>
          <w:rFonts w:hint="eastAsia" w:hAnsi="宋体"/>
          <w:color w:val="000000"/>
          <w:sz w:val="24"/>
        </w:rPr>
        <w:t>五</w:t>
      </w:r>
      <w:r>
        <w:rPr>
          <w:rFonts w:hAnsi="宋体"/>
          <w:color w:val="000000"/>
          <w:sz w:val="24"/>
        </w:rPr>
        <w:t>、</w:t>
      </w:r>
      <w:r>
        <w:rPr>
          <w:rFonts w:hint="eastAsia" w:hAnsi="宋体"/>
          <w:color w:val="000000"/>
          <w:sz w:val="24"/>
        </w:rPr>
        <w:t>离子、配位及开环聚合反应</w:t>
      </w:r>
    </w:p>
    <w:p>
      <w:pPr>
        <w:snapToGrid w:val="0"/>
        <w:spacing w:line="360" w:lineRule="auto"/>
        <w:ind w:left="420" w:leftChars="200"/>
        <w:rPr>
          <w:color w:val="000000"/>
          <w:sz w:val="24"/>
        </w:rPr>
      </w:pPr>
      <w:r>
        <w:rPr>
          <w:color w:val="000000"/>
          <w:sz w:val="24"/>
        </w:rPr>
        <w:t>1</w:t>
      </w:r>
      <w:r>
        <w:rPr>
          <w:rFonts w:hint="eastAsia"/>
          <w:color w:val="000000"/>
          <w:sz w:val="24"/>
        </w:rPr>
        <w:t>、</w:t>
      </w:r>
      <w:r>
        <w:rPr>
          <w:rFonts w:hAnsi="宋体"/>
          <w:color w:val="000000"/>
          <w:sz w:val="24"/>
        </w:rPr>
        <w:t>阳离子聚合适用的单体和引发剂；</w:t>
      </w:r>
    </w:p>
    <w:p>
      <w:pPr>
        <w:snapToGrid w:val="0"/>
        <w:spacing w:line="360" w:lineRule="auto"/>
        <w:ind w:left="420" w:leftChars="200"/>
        <w:rPr>
          <w:rFonts w:hAnsi="宋体"/>
          <w:color w:val="000000"/>
          <w:sz w:val="24"/>
        </w:rPr>
      </w:pPr>
      <w:r>
        <w:rPr>
          <w:color w:val="000000"/>
          <w:sz w:val="24"/>
        </w:rPr>
        <w:t>2</w:t>
      </w:r>
      <w:r>
        <w:rPr>
          <w:rFonts w:hint="eastAsia"/>
          <w:color w:val="000000"/>
          <w:sz w:val="24"/>
        </w:rPr>
        <w:t>、</w:t>
      </w:r>
      <w:r>
        <w:rPr>
          <w:rFonts w:hAnsi="宋体"/>
          <w:color w:val="000000"/>
          <w:sz w:val="24"/>
        </w:rPr>
        <w:t>阳离子聚合机理</w:t>
      </w:r>
      <w:r>
        <w:rPr>
          <w:rFonts w:hint="eastAsia" w:hAnsi="宋体"/>
          <w:color w:val="000000"/>
          <w:sz w:val="24"/>
        </w:rPr>
        <w:t>，阳离子聚合的主要链终止方式，影响阳离子聚合聚合度的因素；</w:t>
      </w:r>
    </w:p>
    <w:p>
      <w:pPr>
        <w:snapToGrid w:val="0"/>
        <w:spacing w:line="360" w:lineRule="auto"/>
        <w:ind w:left="420" w:leftChars="200"/>
        <w:rPr>
          <w:rFonts w:hint="eastAsia" w:hAnsi="宋体"/>
          <w:color w:val="000000"/>
          <w:sz w:val="24"/>
        </w:rPr>
      </w:pPr>
      <w:r>
        <w:rPr>
          <w:rFonts w:hint="eastAsia" w:hAnsi="宋体"/>
          <w:color w:val="000000"/>
          <w:sz w:val="24"/>
        </w:rPr>
        <w:t>3、阳离子聚合特点，影响阳离子聚合的因素；</w:t>
      </w:r>
    </w:p>
    <w:p>
      <w:pPr>
        <w:snapToGrid w:val="0"/>
        <w:spacing w:line="360" w:lineRule="auto"/>
        <w:ind w:left="420" w:leftChars="200"/>
        <w:rPr>
          <w:color w:val="000000"/>
          <w:sz w:val="24"/>
        </w:rPr>
      </w:pPr>
      <w:r>
        <w:rPr>
          <w:color w:val="000000"/>
          <w:sz w:val="24"/>
        </w:rPr>
        <w:t>4</w:t>
      </w:r>
      <w:r>
        <w:rPr>
          <w:rFonts w:hint="eastAsia"/>
          <w:color w:val="000000"/>
          <w:sz w:val="24"/>
        </w:rPr>
        <w:t>、</w:t>
      </w:r>
      <w:r>
        <w:rPr>
          <w:rFonts w:hAnsi="宋体"/>
          <w:color w:val="000000"/>
          <w:sz w:val="24"/>
        </w:rPr>
        <w:t>阴离子聚合适用的单体和引发剂；</w:t>
      </w:r>
    </w:p>
    <w:p>
      <w:pPr>
        <w:snapToGrid w:val="0"/>
        <w:spacing w:line="360" w:lineRule="auto"/>
        <w:ind w:left="420" w:leftChars="200"/>
        <w:rPr>
          <w:rFonts w:hAnsi="宋体"/>
          <w:color w:val="000000"/>
          <w:sz w:val="24"/>
        </w:rPr>
      </w:pPr>
      <w:r>
        <w:rPr>
          <w:color w:val="000000"/>
          <w:sz w:val="24"/>
        </w:rPr>
        <w:t>5</w:t>
      </w:r>
      <w:r>
        <w:rPr>
          <w:rFonts w:hint="eastAsia"/>
          <w:color w:val="000000"/>
          <w:sz w:val="24"/>
        </w:rPr>
        <w:t>、</w:t>
      </w:r>
      <w:r>
        <w:rPr>
          <w:rFonts w:hint="eastAsia" w:hAnsi="宋体"/>
          <w:color w:val="000000"/>
          <w:sz w:val="24"/>
        </w:rPr>
        <w:t>活性聚合的概念，阴离子聚合无终止的原因，活性聚合的应用；</w:t>
      </w:r>
    </w:p>
    <w:p>
      <w:pPr>
        <w:snapToGrid w:val="0"/>
        <w:spacing w:line="360" w:lineRule="auto"/>
        <w:ind w:left="420" w:leftChars="200"/>
        <w:rPr>
          <w:rFonts w:hAnsi="宋体"/>
          <w:color w:val="000000"/>
          <w:sz w:val="24"/>
        </w:rPr>
      </w:pPr>
      <w:r>
        <w:rPr>
          <w:rFonts w:hint="eastAsia" w:hAnsi="宋体"/>
          <w:color w:val="000000"/>
          <w:sz w:val="24"/>
        </w:rPr>
        <w:t>6、阴离子聚合平均动力学链长，如何控制阴离子聚合物相对分子和分布的目的</w:t>
      </w:r>
    </w:p>
    <w:p>
      <w:pPr>
        <w:snapToGrid w:val="0"/>
        <w:spacing w:line="360" w:lineRule="auto"/>
        <w:ind w:left="420" w:leftChars="200"/>
        <w:rPr>
          <w:rFonts w:hAnsi="宋体"/>
          <w:color w:val="000000"/>
          <w:sz w:val="24"/>
        </w:rPr>
      </w:pPr>
      <w:r>
        <w:rPr>
          <w:rFonts w:hint="eastAsia" w:hAnsi="宋体"/>
          <w:color w:val="000000"/>
          <w:sz w:val="24"/>
        </w:rPr>
        <w:t>7、配位聚合的概念以及立体定向聚合机理</w:t>
      </w:r>
    </w:p>
    <w:p>
      <w:pPr>
        <w:snapToGrid w:val="0"/>
        <w:spacing w:line="360" w:lineRule="auto"/>
        <w:ind w:left="420" w:leftChars="200"/>
        <w:rPr>
          <w:rFonts w:hint="eastAsia" w:hAnsi="宋体"/>
          <w:color w:val="000000"/>
          <w:sz w:val="24"/>
        </w:rPr>
      </w:pPr>
      <w:r>
        <w:rPr>
          <w:rFonts w:hint="eastAsia" w:hAnsi="宋体"/>
          <w:color w:val="000000"/>
          <w:sz w:val="24"/>
        </w:rPr>
        <w:t>8、聚合物的立构规整性，定向聚合的概念，有规立构聚合物的性能</w:t>
      </w:r>
    </w:p>
    <w:p>
      <w:pPr>
        <w:snapToGrid w:val="0"/>
        <w:spacing w:line="360" w:lineRule="auto"/>
        <w:ind w:left="420" w:leftChars="200"/>
        <w:rPr>
          <w:rFonts w:hAnsi="宋体"/>
          <w:color w:val="000000"/>
          <w:sz w:val="24"/>
        </w:rPr>
      </w:pPr>
      <w:r>
        <w:rPr>
          <w:color w:val="000000"/>
          <w:sz w:val="24"/>
        </w:rPr>
        <w:t>9</w:t>
      </w:r>
      <w:r>
        <w:rPr>
          <w:rFonts w:hint="eastAsia"/>
          <w:color w:val="000000"/>
          <w:sz w:val="24"/>
        </w:rPr>
        <w:t>、配位聚合体系要求和人为控制分子量的方法</w:t>
      </w:r>
      <w:r>
        <w:rPr>
          <w:rFonts w:hint="eastAsia" w:hAnsi="宋体"/>
          <w:color w:val="000000"/>
          <w:sz w:val="24"/>
        </w:rPr>
        <w:t>。</w:t>
      </w:r>
    </w:p>
    <w:p>
      <w:pPr>
        <w:snapToGrid w:val="0"/>
        <w:spacing w:line="360" w:lineRule="auto"/>
        <w:ind w:left="420" w:leftChars="200"/>
        <w:rPr>
          <w:color w:val="000000"/>
          <w:sz w:val="24"/>
        </w:rPr>
      </w:pPr>
      <w:r>
        <w:rPr>
          <w:color w:val="000000"/>
          <w:sz w:val="24"/>
        </w:rPr>
        <w:t>10</w:t>
      </w:r>
      <w:r>
        <w:rPr>
          <w:rFonts w:hint="eastAsia"/>
          <w:color w:val="000000"/>
          <w:sz w:val="24"/>
        </w:rPr>
        <w:t>、开环聚合能否开环及聚合能力的大小取决于哪些因素？</w:t>
      </w:r>
      <w:r>
        <w:rPr>
          <w:color w:val="000000"/>
          <w:sz w:val="24"/>
        </w:rPr>
        <w:t xml:space="preserve">  </w:t>
      </w:r>
    </w:p>
    <w:p>
      <w:pPr>
        <w:snapToGrid w:val="0"/>
        <w:spacing w:line="360" w:lineRule="auto"/>
        <w:ind w:left="420" w:leftChars="200"/>
        <w:rPr>
          <w:color w:val="000000"/>
          <w:sz w:val="24"/>
        </w:rPr>
      </w:pPr>
      <w:r>
        <w:rPr>
          <w:color w:val="000000"/>
          <w:sz w:val="24"/>
        </w:rPr>
        <w:t>11</w:t>
      </w:r>
      <w:r>
        <w:rPr>
          <w:rFonts w:hint="eastAsia"/>
          <w:color w:val="000000"/>
          <w:sz w:val="24"/>
        </w:rPr>
        <w:t>、环醚的阳离子开环聚合，己内酰胺的阴离子开环聚合</w:t>
      </w:r>
      <w:r>
        <w:rPr>
          <w:color w:val="000000"/>
          <w:sz w:val="24"/>
        </w:rPr>
        <w:t xml:space="preserve">  </w:t>
      </w:r>
    </w:p>
    <w:p>
      <w:pPr>
        <w:snapToGrid w:val="0"/>
        <w:spacing w:line="360" w:lineRule="auto"/>
        <w:jc w:val="left"/>
        <w:outlineLvl w:val="0"/>
        <w:rPr>
          <w:color w:val="000000"/>
          <w:sz w:val="24"/>
        </w:rPr>
      </w:pPr>
      <w:r>
        <w:rPr>
          <w:rFonts w:hint="eastAsia" w:hAnsi="宋体"/>
          <w:color w:val="000000"/>
          <w:sz w:val="24"/>
        </w:rPr>
        <w:t>六</w:t>
      </w:r>
      <w:r>
        <w:rPr>
          <w:rFonts w:hAnsi="宋体"/>
          <w:color w:val="000000"/>
          <w:sz w:val="24"/>
        </w:rPr>
        <w:t>、</w:t>
      </w:r>
      <w:r>
        <w:rPr>
          <w:rFonts w:hint="eastAsia" w:hAnsi="宋体"/>
          <w:color w:val="000000"/>
          <w:sz w:val="24"/>
        </w:rPr>
        <w:t>聚 合 物 的 化 学 反 应</w:t>
      </w:r>
    </w:p>
    <w:p>
      <w:pPr>
        <w:snapToGrid w:val="0"/>
        <w:spacing w:line="360" w:lineRule="auto"/>
        <w:ind w:left="450"/>
        <w:rPr>
          <w:color w:val="000000"/>
          <w:sz w:val="24"/>
        </w:rPr>
      </w:pPr>
      <w:r>
        <w:rPr>
          <w:color w:val="000000"/>
          <w:sz w:val="24"/>
        </w:rPr>
        <w:t>1</w:t>
      </w:r>
      <w:r>
        <w:rPr>
          <w:rFonts w:hint="eastAsia"/>
          <w:color w:val="000000"/>
          <w:sz w:val="24"/>
        </w:rPr>
        <w:t>、了解聚合物的化学反应特征及影响因素；</w:t>
      </w:r>
    </w:p>
    <w:p>
      <w:pPr>
        <w:snapToGrid w:val="0"/>
        <w:spacing w:line="360" w:lineRule="auto"/>
        <w:ind w:left="450"/>
        <w:rPr>
          <w:color w:val="000000"/>
          <w:sz w:val="24"/>
        </w:rPr>
      </w:pPr>
      <w:r>
        <w:rPr>
          <w:color w:val="000000"/>
          <w:sz w:val="24"/>
        </w:rPr>
        <w:t>2</w:t>
      </w:r>
      <w:r>
        <w:rPr>
          <w:rFonts w:hint="eastAsia"/>
          <w:color w:val="000000"/>
          <w:sz w:val="24"/>
        </w:rPr>
        <w:t>、聚合物的相似转化反应；</w:t>
      </w:r>
    </w:p>
    <w:p>
      <w:pPr>
        <w:snapToGrid w:val="0"/>
        <w:spacing w:line="360" w:lineRule="auto"/>
        <w:ind w:left="450"/>
        <w:rPr>
          <w:color w:val="000000"/>
          <w:sz w:val="24"/>
        </w:rPr>
      </w:pPr>
      <w:r>
        <w:rPr>
          <w:color w:val="000000"/>
          <w:sz w:val="24"/>
        </w:rPr>
        <w:t>3</w:t>
      </w:r>
      <w:r>
        <w:rPr>
          <w:rFonts w:hint="eastAsia"/>
          <w:color w:val="000000"/>
          <w:sz w:val="24"/>
        </w:rPr>
        <w:t>、聚合物的交联接枝﹑嵌段及扩链反应；</w:t>
      </w:r>
    </w:p>
    <w:p>
      <w:pPr>
        <w:snapToGrid w:val="0"/>
        <w:spacing w:line="360" w:lineRule="auto"/>
        <w:ind w:left="450"/>
        <w:rPr>
          <w:color w:val="000000"/>
          <w:sz w:val="24"/>
        </w:rPr>
      </w:pPr>
      <w:r>
        <w:rPr>
          <w:rFonts w:hint="eastAsia"/>
          <w:color w:val="000000"/>
          <w:sz w:val="24"/>
        </w:rPr>
        <w:t>4、聚合物的降解反应，防止聚合物的降解以及聚合物老化的技术措施；</w:t>
      </w:r>
    </w:p>
    <w:p>
      <w:pPr>
        <w:snapToGrid w:val="0"/>
        <w:spacing w:line="360" w:lineRule="auto"/>
        <w:ind w:left="450"/>
        <w:rPr>
          <w:rFonts w:hint="eastAsia"/>
          <w:color w:val="000000"/>
          <w:sz w:val="24"/>
        </w:rPr>
      </w:pPr>
      <w:r>
        <w:rPr>
          <w:rFonts w:hint="eastAsia"/>
          <w:color w:val="000000"/>
          <w:sz w:val="24"/>
        </w:rPr>
        <w:t>5、绿色高分子概念；</w:t>
      </w:r>
    </w:p>
    <w:p>
      <w:pPr>
        <w:widowControl/>
        <w:shd w:val="clear" w:color="auto" w:fill="FFFFFF"/>
        <w:snapToGrid w:val="0"/>
        <w:spacing w:line="360" w:lineRule="auto"/>
        <w:jc w:val="left"/>
        <w:rPr>
          <w:rFonts w:hint="eastAsia" w:hAnsi="宋体"/>
          <w:color w:val="000000"/>
          <w:sz w:val="24"/>
        </w:rPr>
      </w:pPr>
    </w:p>
    <w:p>
      <w:pPr>
        <w:widowControl/>
        <w:shd w:val="clear" w:color="auto" w:fill="FFFFFF"/>
        <w:snapToGrid w:val="0"/>
        <w:spacing w:line="360" w:lineRule="auto"/>
        <w:jc w:val="left"/>
        <w:rPr>
          <w:rFonts w:hint="eastAsia" w:hAnsi="宋体"/>
          <w:color w:val="000000"/>
          <w:sz w:val="24"/>
        </w:rPr>
      </w:pPr>
      <w:r>
        <w:rPr>
          <w:rFonts w:hint="eastAsia" w:hAnsi="宋体"/>
          <w:color w:val="000000"/>
          <w:sz w:val="24"/>
        </w:rPr>
        <w:t xml:space="preserve">高分子物理部分： </w:t>
      </w:r>
    </w:p>
    <w:p>
      <w:pPr>
        <w:widowControl/>
        <w:shd w:val="clear" w:color="auto" w:fill="FFFFFF"/>
        <w:snapToGrid w:val="0"/>
        <w:spacing w:line="360" w:lineRule="auto"/>
        <w:jc w:val="left"/>
        <w:outlineLvl w:val="0"/>
        <w:rPr>
          <w:rFonts w:hint="eastAsia" w:hAnsi="宋体"/>
          <w:color w:val="000000"/>
          <w:sz w:val="24"/>
        </w:rPr>
      </w:pPr>
      <w:r>
        <w:rPr>
          <w:rFonts w:hint="eastAsia" w:hAnsi="宋体"/>
          <w:color w:val="000000"/>
          <w:sz w:val="24"/>
        </w:rPr>
        <w:t>一、聚合物的链结构</w:t>
      </w:r>
    </w:p>
    <w:p>
      <w:pPr>
        <w:snapToGrid w:val="0"/>
        <w:spacing w:line="360" w:lineRule="auto"/>
        <w:ind w:left="420" w:leftChars="200"/>
        <w:rPr>
          <w:rFonts w:hint="eastAsia"/>
          <w:color w:val="000000"/>
          <w:sz w:val="24"/>
        </w:rPr>
      </w:pPr>
      <w:r>
        <w:rPr>
          <w:rFonts w:hint="eastAsia"/>
          <w:color w:val="000000"/>
          <w:sz w:val="24"/>
        </w:rPr>
        <w:t>1、聚合物的结构层次；</w:t>
      </w:r>
    </w:p>
    <w:p>
      <w:pPr>
        <w:snapToGrid w:val="0"/>
        <w:spacing w:line="360" w:lineRule="auto"/>
        <w:ind w:left="420" w:leftChars="200"/>
        <w:rPr>
          <w:rFonts w:hint="eastAsia" w:hAnsi="宋体"/>
          <w:color w:val="000000"/>
          <w:sz w:val="24"/>
        </w:rPr>
      </w:pPr>
      <w:r>
        <w:rPr>
          <w:rFonts w:hint="eastAsia"/>
          <w:color w:val="000000"/>
          <w:sz w:val="24"/>
        </w:rPr>
        <w:t>2、</w:t>
      </w:r>
      <w:r>
        <w:rPr>
          <w:rFonts w:hint="eastAsia" w:hAnsi="宋体"/>
          <w:color w:val="000000"/>
          <w:sz w:val="24"/>
        </w:rPr>
        <w:t>高分子的链结构（包括化学组成、端基、结构单元的键接方式、结构单元的空间立构、支化与交联、键接序列）；</w:t>
      </w:r>
    </w:p>
    <w:p>
      <w:pPr>
        <w:snapToGrid w:val="0"/>
        <w:spacing w:line="360" w:lineRule="auto"/>
        <w:ind w:left="420" w:leftChars="200"/>
        <w:rPr>
          <w:color w:val="000000"/>
          <w:sz w:val="24"/>
        </w:rPr>
      </w:pPr>
      <w:r>
        <w:rPr>
          <w:rFonts w:hint="eastAsia"/>
          <w:color w:val="000000"/>
          <w:sz w:val="24"/>
        </w:rPr>
        <w:t>3、聚合物构型的概念，立体异构以及顺反异构对聚合物性能的影响，共聚物结构对材料性能的影响；</w:t>
      </w:r>
    </w:p>
    <w:p>
      <w:pPr>
        <w:snapToGrid w:val="0"/>
        <w:spacing w:line="360" w:lineRule="auto"/>
        <w:ind w:left="420" w:leftChars="200"/>
        <w:rPr>
          <w:rFonts w:hint="eastAsia"/>
          <w:color w:val="000000"/>
          <w:sz w:val="24"/>
        </w:rPr>
      </w:pPr>
      <w:r>
        <w:rPr>
          <w:rFonts w:hint="eastAsia"/>
          <w:color w:val="000000"/>
          <w:sz w:val="24"/>
        </w:rPr>
        <w:t>4、构象的概念和构型的区别</w:t>
      </w:r>
    </w:p>
    <w:p>
      <w:pPr>
        <w:snapToGrid w:val="0"/>
        <w:spacing w:line="360" w:lineRule="auto"/>
        <w:ind w:left="420" w:leftChars="200"/>
        <w:rPr>
          <w:rFonts w:hint="eastAsia"/>
          <w:color w:val="000000"/>
          <w:sz w:val="24"/>
        </w:rPr>
      </w:pPr>
      <w:r>
        <w:rPr>
          <w:rFonts w:hint="eastAsia"/>
          <w:color w:val="000000"/>
          <w:sz w:val="24"/>
        </w:rPr>
        <w:t>5、聚合物链柔顺性的概念及与构象的关系；</w:t>
      </w:r>
    </w:p>
    <w:p>
      <w:pPr>
        <w:snapToGrid w:val="0"/>
        <w:spacing w:line="360" w:lineRule="auto"/>
        <w:ind w:left="420" w:leftChars="200"/>
        <w:rPr>
          <w:rFonts w:hint="eastAsia" w:hAnsi="宋体"/>
          <w:color w:val="000000"/>
          <w:sz w:val="24"/>
        </w:rPr>
      </w:pPr>
      <w:r>
        <w:rPr>
          <w:color w:val="000000"/>
          <w:sz w:val="24"/>
        </w:rPr>
        <w:t>6</w:t>
      </w:r>
      <w:r>
        <w:rPr>
          <w:rFonts w:hint="eastAsia"/>
          <w:color w:val="000000"/>
          <w:sz w:val="24"/>
        </w:rPr>
        <w:t>、</w:t>
      </w:r>
      <w:r>
        <w:rPr>
          <w:rFonts w:hint="eastAsia" w:hAnsi="宋体"/>
          <w:color w:val="000000"/>
          <w:sz w:val="24"/>
        </w:rPr>
        <w:t>影响聚合物链柔性的内外因素。</w:t>
      </w:r>
    </w:p>
    <w:p>
      <w:pPr>
        <w:widowControl/>
        <w:shd w:val="clear" w:color="auto" w:fill="FFFFFF"/>
        <w:snapToGrid w:val="0"/>
        <w:spacing w:line="360" w:lineRule="auto"/>
        <w:jc w:val="left"/>
        <w:rPr>
          <w:rFonts w:hint="eastAsia" w:hAnsi="宋体"/>
          <w:color w:val="000000"/>
          <w:sz w:val="24"/>
        </w:rPr>
      </w:pPr>
    </w:p>
    <w:p>
      <w:pPr>
        <w:widowControl/>
        <w:shd w:val="clear" w:color="auto" w:fill="FFFFFF"/>
        <w:snapToGrid w:val="0"/>
        <w:spacing w:line="360" w:lineRule="auto"/>
        <w:jc w:val="left"/>
        <w:outlineLvl w:val="0"/>
        <w:rPr>
          <w:rFonts w:hint="eastAsia" w:hAnsi="宋体"/>
          <w:color w:val="000000"/>
          <w:sz w:val="24"/>
        </w:rPr>
      </w:pPr>
      <w:r>
        <w:rPr>
          <w:rFonts w:hint="eastAsia" w:hAnsi="宋体"/>
          <w:color w:val="000000"/>
          <w:sz w:val="24"/>
        </w:rPr>
        <w:t>二、聚合物的凝聚态结构</w:t>
      </w:r>
    </w:p>
    <w:p>
      <w:pPr>
        <w:snapToGrid w:val="0"/>
        <w:spacing w:line="360" w:lineRule="auto"/>
        <w:ind w:left="420" w:leftChars="200"/>
        <w:rPr>
          <w:color w:val="000000"/>
          <w:sz w:val="24"/>
        </w:rPr>
      </w:pPr>
      <w:r>
        <w:rPr>
          <w:rFonts w:hint="eastAsia"/>
          <w:color w:val="000000"/>
          <w:sz w:val="24"/>
        </w:rPr>
        <w:t>1、高分子间的作用力；</w:t>
      </w:r>
    </w:p>
    <w:p>
      <w:pPr>
        <w:snapToGrid w:val="0"/>
        <w:spacing w:line="360" w:lineRule="auto"/>
        <w:ind w:left="420" w:leftChars="200"/>
        <w:rPr>
          <w:color w:val="000000"/>
          <w:sz w:val="24"/>
        </w:rPr>
      </w:pPr>
      <w:r>
        <w:rPr>
          <w:color w:val="000000"/>
          <w:sz w:val="24"/>
        </w:rPr>
        <w:t>2</w:t>
      </w:r>
      <w:r>
        <w:rPr>
          <w:rFonts w:hint="eastAsia"/>
          <w:color w:val="000000"/>
          <w:sz w:val="24"/>
        </w:rPr>
        <w:t>、结晶形态和结构（单晶，球晶），晶态结构模型和非晶态结构模型；</w:t>
      </w:r>
    </w:p>
    <w:p>
      <w:pPr>
        <w:snapToGrid w:val="0"/>
        <w:spacing w:line="360" w:lineRule="auto"/>
        <w:ind w:left="420" w:leftChars="200"/>
        <w:rPr>
          <w:rFonts w:hint="eastAsia"/>
          <w:color w:val="000000"/>
          <w:sz w:val="24"/>
        </w:rPr>
      </w:pPr>
      <w:r>
        <w:rPr>
          <w:rFonts w:hint="eastAsia"/>
          <w:color w:val="000000"/>
          <w:sz w:val="24"/>
        </w:rPr>
        <w:t>3、结晶动力学及其影响因素，结晶能力与结构关系，结晶度，结晶热力学；4、高分子的取向及其对聚合物性能的影响，液晶态结构和非均相多组分聚合物的织态结构及其对聚合物性能的影响。</w:t>
      </w:r>
    </w:p>
    <w:p>
      <w:pPr>
        <w:widowControl/>
        <w:shd w:val="clear" w:color="auto" w:fill="FFFFFF"/>
        <w:snapToGrid w:val="0"/>
        <w:spacing w:line="360" w:lineRule="auto"/>
        <w:jc w:val="left"/>
        <w:rPr>
          <w:rFonts w:hint="eastAsia" w:hAnsi="宋体"/>
          <w:color w:val="000000"/>
          <w:sz w:val="24"/>
        </w:rPr>
      </w:pPr>
    </w:p>
    <w:p>
      <w:pPr>
        <w:widowControl/>
        <w:shd w:val="clear" w:color="auto" w:fill="FFFFFF"/>
        <w:snapToGrid w:val="0"/>
        <w:spacing w:line="360" w:lineRule="auto"/>
        <w:jc w:val="left"/>
        <w:outlineLvl w:val="0"/>
        <w:rPr>
          <w:rFonts w:hint="eastAsia" w:hAnsi="宋体"/>
          <w:color w:val="000000"/>
          <w:sz w:val="24"/>
        </w:rPr>
      </w:pPr>
      <w:r>
        <w:rPr>
          <w:rFonts w:hint="eastAsia" w:hAnsi="宋体"/>
          <w:color w:val="000000"/>
          <w:sz w:val="24"/>
        </w:rPr>
        <w:t>三、聚合物材料学形态转变及其分子运动基础</w:t>
      </w:r>
    </w:p>
    <w:p>
      <w:pPr>
        <w:snapToGrid w:val="0"/>
        <w:spacing w:line="360" w:lineRule="auto"/>
        <w:ind w:left="420" w:leftChars="200"/>
        <w:rPr>
          <w:rFonts w:hint="eastAsia" w:hAnsi="宋体"/>
          <w:color w:val="000000"/>
          <w:sz w:val="24"/>
        </w:rPr>
      </w:pPr>
      <w:r>
        <w:rPr>
          <w:rFonts w:hint="eastAsia"/>
          <w:color w:val="000000"/>
          <w:sz w:val="24"/>
        </w:rPr>
        <w:t>1、</w:t>
      </w:r>
      <w:r>
        <w:rPr>
          <w:rFonts w:hint="eastAsia" w:hAnsi="宋体"/>
          <w:color w:val="000000"/>
          <w:sz w:val="24"/>
        </w:rPr>
        <w:t>聚合物分子运动的特点，时温等效原理；</w:t>
      </w:r>
    </w:p>
    <w:p>
      <w:pPr>
        <w:snapToGrid w:val="0"/>
        <w:spacing w:line="360" w:lineRule="auto"/>
        <w:ind w:left="420" w:leftChars="200"/>
        <w:rPr>
          <w:rFonts w:hint="eastAsia" w:hAnsi="宋体"/>
          <w:color w:val="000000"/>
          <w:sz w:val="24"/>
        </w:rPr>
      </w:pPr>
      <w:r>
        <w:rPr>
          <w:rFonts w:hint="eastAsia" w:hAnsi="宋体"/>
          <w:color w:val="000000"/>
          <w:sz w:val="24"/>
        </w:rPr>
        <w:t>2、非晶态，晶态和交联聚合物的温度形变曲线，又称热机械曲线；</w:t>
      </w:r>
    </w:p>
    <w:p>
      <w:pPr>
        <w:snapToGrid w:val="0"/>
        <w:spacing w:line="360" w:lineRule="auto"/>
        <w:ind w:left="420" w:leftChars="200"/>
        <w:rPr>
          <w:rFonts w:hint="eastAsia" w:hAnsi="宋体"/>
          <w:color w:val="000000"/>
          <w:sz w:val="24"/>
        </w:rPr>
      </w:pPr>
      <w:r>
        <w:rPr>
          <w:rFonts w:hint="eastAsia" w:hAnsi="宋体"/>
          <w:color w:val="000000"/>
          <w:sz w:val="24"/>
        </w:rPr>
        <w:t>3、“三态两区”的分子运动和宏观表现；</w:t>
      </w:r>
    </w:p>
    <w:p>
      <w:pPr>
        <w:snapToGrid w:val="0"/>
        <w:spacing w:line="360" w:lineRule="auto"/>
        <w:ind w:left="420" w:leftChars="200"/>
        <w:rPr>
          <w:rFonts w:hAnsi="宋体"/>
          <w:color w:val="000000"/>
          <w:sz w:val="24"/>
        </w:rPr>
      </w:pPr>
      <w:r>
        <w:rPr>
          <w:rFonts w:hint="eastAsia" w:hAnsi="宋体"/>
          <w:color w:val="000000"/>
          <w:sz w:val="24"/>
        </w:rPr>
        <w:t>4、T</w:t>
      </w:r>
      <w:r>
        <w:rPr>
          <w:rFonts w:hint="eastAsia" w:hAnsi="宋体"/>
          <w:color w:val="000000"/>
          <w:sz w:val="24"/>
          <w:vertAlign w:val="subscript"/>
        </w:rPr>
        <w:t>g</w:t>
      </w:r>
      <w:r>
        <w:rPr>
          <w:rFonts w:hint="eastAsia" w:hAnsi="宋体"/>
          <w:color w:val="000000"/>
          <w:sz w:val="24"/>
        </w:rPr>
        <w:t>的实用意义以及影响因素；</w:t>
      </w:r>
    </w:p>
    <w:p>
      <w:pPr>
        <w:snapToGrid w:val="0"/>
        <w:spacing w:line="360" w:lineRule="auto"/>
        <w:ind w:left="420" w:leftChars="200"/>
        <w:rPr>
          <w:rFonts w:hAnsi="宋体"/>
          <w:color w:val="000000"/>
          <w:sz w:val="24"/>
        </w:rPr>
      </w:pPr>
      <w:r>
        <w:rPr>
          <w:rFonts w:hint="eastAsia" w:hAnsi="宋体"/>
          <w:color w:val="000000"/>
          <w:sz w:val="24"/>
        </w:rPr>
        <w:t>5、聚合物粘性流动的特点，牛顿流体与非牛顿流体，聚合物的粘性流动曲线，影响粘流温度的因素；</w:t>
      </w:r>
    </w:p>
    <w:p>
      <w:pPr>
        <w:snapToGrid w:val="0"/>
        <w:spacing w:line="360" w:lineRule="auto"/>
        <w:ind w:left="420" w:leftChars="200"/>
        <w:rPr>
          <w:rFonts w:hint="eastAsia" w:hAnsi="宋体"/>
          <w:color w:val="000000"/>
          <w:sz w:val="24"/>
        </w:rPr>
      </w:pPr>
      <w:r>
        <w:rPr>
          <w:rFonts w:hint="eastAsia" w:hAnsi="宋体"/>
          <w:color w:val="000000"/>
          <w:sz w:val="24"/>
        </w:rPr>
        <w:t>6、影响聚合物熔体粘度的因素，粘流活化能，温敏材料和切敏材料；</w:t>
      </w:r>
    </w:p>
    <w:p>
      <w:pPr>
        <w:widowControl/>
        <w:shd w:val="clear" w:color="auto" w:fill="FFFFFF"/>
        <w:snapToGrid w:val="0"/>
        <w:spacing w:line="360" w:lineRule="auto"/>
        <w:jc w:val="left"/>
        <w:rPr>
          <w:rFonts w:hint="eastAsia" w:hAnsi="宋体"/>
          <w:color w:val="000000"/>
          <w:sz w:val="24"/>
        </w:rPr>
      </w:pPr>
    </w:p>
    <w:p>
      <w:pPr>
        <w:widowControl/>
        <w:shd w:val="clear" w:color="auto" w:fill="FFFFFF"/>
        <w:snapToGrid w:val="0"/>
        <w:spacing w:line="360" w:lineRule="auto"/>
        <w:jc w:val="left"/>
        <w:outlineLvl w:val="0"/>
        <w:rPr>
          <w:rFonts w:hint="eastAsia" w:hAnsi="宋体"/>
          <w:color w:val="000000"/>
          <w:sz w:val="24"/>
        </w:rPr>
      </w:pPr>
      <w:r>
        <w:rPr>
          <w:rFonts w:hint="eastAsia" w:hAnsi="宋体"/>
          <w:color w:val="000000"/>
          <w:sz w:val="24"/>
        </w:rPr>
        <w:t>四、高聚物的力学性能</w:t>
      </w:r>
    </w:p>
    <w:p>
      <w:pPr>
        <w:snapToGrid w:val="0"/>
        <w:spacing w:line="360" w:lineRule="auto"/>
        <w:ind w:left="420" w:leftChars="200"/>
        <w:rPr>
          <w:rFonts w:hAnsi="宋体"/>
          <w:color w:val="000000"/>
          <w:sz w:val="24"/>
        </w:rPr>
      </w:pPr>
      <w:r>
        <w:rPr>
          <w:rFonts w:hint="eastAsia" w:hAnsi="宋体"/>
          <w:color w:val="000000"/>
          <w:sz w:val="24"/>
        </w:rPr>
        <w:t>1、掌握应力与应变，模量与柔量等概念；</w:t>
      </w:r>
    </w:p>
    <w:p>
      <w:pPr>
        <w:snapToGrid w:val="0"/>
        <w:spacing w:line="360" w:lineRule="auto"/>
        <w:ind w:left="420" w:leftChars="200"/>
        <w:rPr>
          <w:rFonts w:hAnsi="宋体"/>
          <w:color w:val="000000"/>
          <w:sz w:val="24"/>
        </w:rPr>
      </w:pPr>
      <w:r>
        <w:rPr>
          <w:rFonts w:hint="eastAsia" w:hAnsi="宋体"/>
          <w:color w:val="000000"/>
          <w:sz w:val="24"/>
        </w:rPr>
        <w:t>2、掌握聚合物的高弹性特征及热力学本质；</w:t>
      </w:r>
    </w:p>
    <w:p>
      <w:pPr>
        <w:snapToGrid w:val="0"/>
        <w:spacing w:line="360" w:lineRule="auto"/>
        <w:ind w:left="420" w:leftChars="200"/>
        <w:rPr>
          <w:rFonts w:hAnsi="宋体"/>
          <w:color w:val="000000"/>
          <w:sz w:val="24"/>
        </w:rPr>
      </w:pPr>
      <w:r>
        <w:rPr>
          <w:rFonts w:hint="eastAsia" w:hAnsi="宋体"/>
          <w:color w:val="000000"/>
          <w:sz w:val="24"/>
        </w:rPr>
        <w:t>3、聚合物的粘弹性及其力学模型</w:t>
      </w:r>
    </w:p>
    <w:p>
      <w:pPr>
        <w:snapToGrid w:val="0"/>
        <w:spacing w:line="360" w:lineRule="auto"/>
        <w:ind w:left="420" w:leftChars="200"/>
        <w:rPr>
          <w:rFonts w:hint="eastAsia" w:hAnsi="宋体"/>
          <w:color w:val="000000"/>
          <w:sz w:val="24"/>
        </w:rPr>
      </w:pPr>
      <w:r>
        <w:rPr>
          <w:rFonts w:hAnsi="宋体"/>
          <w:color w:val="000000"/>
          <w:sz w:val="24"/>
        </w:rPr>
        <w:t>4</w:t>
      </w:r>
      <w:r>
        <w:rPr>
          <w:rFonts w:hint="eastAsia" w:hAnsi="宋体"/>
          <w:color w:val="000000"/>
          <w:sz w:val="24"/>
        </w:rPr>
        <w:t>、力学松弛的概念和现象 (静态：蠕变和应力松弛；动态：滞后和力学损耗）、影响因素及表征方法；</w:t>
      </w:r>
    </w:p>
    <w:p>
      <w:pPr>
        <w:snapToGrid w:val="0"/>
        <w:spacing w:line="360" w:lineRule="auto"/>
        <w:ind w:left="420" w:leftChars="200"/>
        <w:rPr>
          <w:rFonts w:hAnsi="宋体"/>
          <w:color w:val="000000"/>
          <w:sz w:val="24"/>
        </w:rPr>
      </w:pPr>
      <w:r>
        <w:rPr>
          <w:rFonts w:hint="eastAsia" w:hAnsi="宋体"/>
          <w:color w:val="000000"/>
          <w:sz w:val="24"/>
        </w:rPr>
        <w:t>3、屈服、银纹、剪切带、脆韧转变温度与断裂的基本概念，增强与增韧的途径与机理;</w:t>
      </w:r>
    </w:p>
    <w:p>
      <w:pPr>
        <w:snapToGrid w:val="0"/>
        <w:spacing w:line="360" w:lineRule="auto"/>
        <w:ind w:left="420" w:leftChars="200"/>
        <w:rPr>
          <w:rFonts w:hAnsi="宋体"/>
          <w:color w:val="000000"/>
          <w:sz w:val="24"/>
        </w:rPr>
      </w:pPr>
      <w:r>
        <w:rPr>
          <w:rFonts w:hint="eastAsia" w:hAnsi="宋体"/>
          <w:color w:val="000000"/>
          <w:sz w:val="24"/>
        </w:rPr>
        <w:t>5、聚合物的力学强度、拉伸过程及断裂破坏过程等;</w:t>
      </w:r>
    </w:p>
    <w:p>
      <w:pPr>
        <w:snapToGrid w:val="0"/>
        <w:spacing w:line="360" w:lineRule="auto"/>
        <w:outlineLvl w:val="0"/>
        <w:rPr>
          <w:rFonts w:hint="eastAsia" w:hAnsi="宋体"/>
          <w:color w:val="000000"/>
          <w:sz w:val="24"/>
        </w:rPr>
      </w:pPr>
      <w:r>
        <w:rPr>
          <w:rFonts w:hint="eastAsia" w:hAnsi="宋体"/>
          <w:color w:val="000000"/>
          <w:sz w:val="24"/>
        </w:rPr>
        <w:t>五、高聚物的溶液性能</w:t>
      </w:r>
    </w:p>
    <w:p>
      <w:pPr>
        <w:snapToGrid w:val="0"/>
        <w:spacing w:line="360" w:lineRule="auto"/>
        <w:ind w:left="420" w:leftChars="200"/>
        <w:rPr>
          <w:rFonts w:hAnsi="宋体"/>
          <w:color w:val="000000"/>
          <w:sz w:val="24"/>
        </w:rPr>
      </w:pPr>
      <w:r>
        <w:rPr>
          <w:rFonts w:hint="eastAsia" w:hAnsi="宋体"/>
          <w:color w:val="000000"/>
          <w:sz w:val="24"/>
        </w:rPr>
        <w:t>1、线性，交联和结晶聚合物溶解过程的特点；</w:t>
      </w:r>
    </w:p>
    <w:p>
      <w:pPr>
        <w:snapToGrid w:val="0"/>
        <w:spacing w:line="360" w:lineRule="auto"/>
        <w:ind w:left="420" w:leftChars="200"/>
        <w:rPr>
          <w:rFonts w:hAnsi="宋体"/>
          <w:color w:val="000000"/>
          <w:sz w:val="24"/>
        </w:rPr>
      </w:pPr>
      <w:r>
        <w:rPr>
          <w:rFonts w:hint="eastAsia" w:hAnsi="宋体"/>
          <w:color w:val="000000"/>
          <w:sz w:val="24"/>
        </w:rPr>
        <w:t>2、高聚物的互溶性判定和溶剂的三个选择原则；</w:t>
      </w:r>
    </w:p>
    <w:p>
      <w:pPr>
        <w:snapToGrid w:val="0"/>
        <w:spacing w:line="360" w:lineRule="auto"/>
        <w:ind w:left="420" w:leftChars="200"/>
        <w:rPr>
          <w:rFonts w:hint="eastAsia" w:hAnsi="宋体"/>
          <w:color w:val="000000"/>
          <w:sz w:val="24"/>
        </w:rPr>
      </w:pPr>
      <w:r>
        <w:rPr>
          <w:rFonts w:hint="eastAsia" w:hAnsi="宋体"/>
          <w:color w:val="000000"/>
          <w:sz w:val="24"/>
        </w:rPr>
        <w:t>3、高聚物的增塑有哪些作用？增塑机理是什么？</w:t>
      </w:r>
    </w:p>
    <w:p>
      <w:pPr>
        <w:snapToGrid w:val="0"/>
        <w:spacing w:line="360" w:lineRule="auto"/>
        <w:ind w:left="420" w:leftChars="200"/>
        <w:rPr>
          <w:rFonts w:hAnsi="宋体"/>
          <w:color w:val="000000"/>
          <w:sz w:val="24"/>
        </w:rPr>
      </w:pPr>
      <w:r>
        <w:rPr>
          <w:rFonts w:hAnsi="宋体"/>
          <w:color w:val="000000"/>
          <w:sz w:val="24"/>
        </w:rPr>
        <w:t>4</w:t>
      </w:r>
      <w:r>
        <w:rPr>
          <w:rFonts w:hint="eastAsia" w:hAnsi="宋体"/>
          <w:color w:val="000000"/>
          <w:sz w:val="24"/>
        </w:rPr>
        <w:t>、共混物、共混物相容性的热力学判定</w:t>
      </w:r>
    </w:p>
    <w:p>
      <w:pPr>
        <w:snapToGrid w:val="0"/>
        <w:spacing w:line="360" w:lineRule="auto"/>
        <w:ind w:left="420" w:leftChars="200"/>
        <w:rPr>
          <w:rFonts w:hint="eastAsia" w:hAnsi="宋体"/>
          <w:color w:val="000000"/>
          <w:sz w:val="24"/>
        </w:rPr>
      </w:pPr>
      <w:r>
        <w:rPr>
          <w:rFonts w:hint="eastAsia" w:hAnsi="宋体"/>
          <w:color w:val="000000"/>
          <w:sz w:val="24"/>
        </w:rPr>
        <w:t>5、凝胶渗透色谱（GPC）分离机理</w:t>
      </w:r>
    </w:p>
    <w:p>
      <w:pPr>
        <w:snapToGrid w:val="0"/>
        <w:spacing w:line="360" w:lineRule="auto"/>
        <w:outlineLvl w:val="0"/>
        <w:rPr>
          <w:rFonts w:hint="eastAsia" w:hAnsi="宋体"/>
          <w:color w:val="000000"/>
          <w:sz w:val="24"/>
        </w:rPr>
      </w:pPr>
      <w:r>
        <w:rPr>
          <w:rFonts w:hint="eastAsia" w:hAnsi="宋体"/>
          <w:color w:val="000000"/>
          <w:sz w:val="24"/>
        </w:rPr>
        <w:t>六、高聚物的电学与热学性能</w:t>
      </w:r>
    </w:p>
    <w:p>
      <w:pPr>
        <w:snapToGrid w:val="0"/>
        <w:spacing w:line="360" w:lineRule="auto"/>
        <w:ind w:left="420" w:leftChars="200"/>
        <w:rPr>
          <w:rFonts w:hint="eastAsia" w:hAnsi="宋体"/>
          <w:color w:val="000000"/>
          <w:sz w:val="24"/>
        </w:rPr>
      </w:pPr>
      <w:r>
        <w:rPr>
          <w:rFonts w:hint="eastAsia" w:hAnsi="宋体"/>
          <w:color w:val="000000"/>
          <w:sz w:val="24"/>
        </w:rPr>
        <w:t>1、高聚物电学性能的特点；</w:t>
      </w:r>
    </w:p>
    <w:p>
      <w:pPr>
        <w:snapToGrid w:val="0"/>
        <w:spacing w:line="360" w:lineRule="auto"/>
        <w:ind w:left="420" w:leftChars="200"/>
        <w:rPr>
          <w:rFonts w:hAnsi="宋体"/>
          <w:color w:val="000000"/>
          <w:sz w:val="24"/>
        </w:rPr>
      </w:pPr>
      <w:r>
        <w:rPr>
          <w:rFonts w:hint="eastAsia" w:hAnsi="宋体"/>
          <w:color w:val="000000"/>
          <w:sz w:val="24"/>
        </w:rPr>
        <w:t>2、介电性能：介电常数和耗损；</w:t>
      </w:r>
    </w:p>
    <w:p>
      <w:pPr>
        <w:snapToGrid w:val="0"/>
        <w:spacing w:line="360" w:lineRule="auto"/>
        <w:ind w:left="420" w:leftChars="200"/>
        <w:rPr>
          <w:rFonts w:hAnsi="宋体"/>
          <w:color w:val="000000"/>
          <w:sz w:val="24"/>
        </w:rPr>
      </w:pPr>
      <w:r>
        <w:rPr>
          <w:rFonts w:hAnsi="宋体"/>
          <w:color w:val="000000"/>
          <w:sz w:val="24"/>
        </w:rPr>
        <w:t>3</w:t>
      </w:r>
      <w:r>
        <w:rPr>
          <w:rFonts w:hint="eastAsia" w:hAnsi="宋体"/>
          <w:color w:val="000000"/>
          <w:sz w:val="24"/>
        </w:rPr>
        <w:t>、影响高聚物导电性能的因素；</w:t>
      </w:r>
    </w:p>
    <w:p>
      <w:pPr>
        <w:snapToGrid w:val="0"/>
        <w:spacing w:line="360" w:lineRule="auto"/>
        <w:ind w:left="420" w:leftChars="200"/>
        <w:rPr>
          <w:rFonts w:hint="eastAsia" w:hAnsi="宋体"/>
          <w:color w:val="000000"/>
          <w:sz w:val="24"/>
        </w:rPr>
      </w:pPr>
      <w:r>
        <w:rPr>
          <w:rFonts w:hAnsi="宋体"/>
          <w:color w:val="000000"/>
          <w:sz w:val="24"/>
        </w:rPr>
        <w:t>4</w:t>
      </w:r>
      <w:r>
        <w:rPr>
          <w:rFonts w:hint="eastAsia" w:hAnsi="宋体"/>
          <w:color w:val="000000"/>
          <w:sz w:val="24"/>
        </w:rPr>
        <w:t>、高聚物的结构与耐热性的关系，高聚物的热分解；</w:t>
      </w:r>
    </w:p>
    <w:p>
      <w:pPr>
        <w:snapToGrid w:val="0"/>
        <w:spacing w:line="360" w:lineRule="auto"/>
        <w:ind w:left="420" w:leftChars="200"/>
        <w:rPr>
          <w:rFonts w:hAnsi="宋体"/>
          <w:color w:val="000000"/>
          <w:sz w:val="24"/>
        </w:rPr>
      </w:pPr>
    </w:p>
    <w:p>
      <w:pPr>
        <w:spacing w:line="360" w:lineRule="auto"/>
        <w:rPr>
          <w:b/>
          <w:color w:val="000000"/>
          <w:sz w:val="24"/>
        </w:rPr>
      </w:pPr>
      <w:r>
        <w:rPr>
          <w:rFonts w:hAnsi="宋体"/>
          <w:b/>
          <w:color w:val="000000"/>
          <w:sz w:val="24"/>
        </w:rPr>
        <w:t>Ⅳ</w:t>
      </w:r>
      <w:r>
        <w:rPr>
          <w:b/>
          <w:color w:val="000000"/>
          <w:sz w:val="24"/>
        </w:rPr>
        <w:t>、参考书目</w:t>
      </w:r>
    </w:p>
    <w:p>
      <w:pPr>
        <w:spacing w:line="360" w:lineRule="auto"/>
        <w:rPr>
          <w:color w:val="000000"/>
          <w:sz w:val="24"/>
        </w:rPr>
      </w:pPr>
      <w:r>
        <w:rPr>
          <w:color w:val="000000"/>
          <w:sz w:val="24"/>
        </w:rPr>
        <w:t>1、</w:t>
      </w:r>
      <w:r>
        <w:rPr>
          <w:rFonts w:hint="eastAsia"/>
          <w:color w:val="000000"/>
          <w:sz w:val="24"/>
        </w:rPr>
        <w:t>胡国文</w:t>
      </w:r>
      <w:r>
        <w:rPr>
          <w:color w:val="000000"/>
          <w:sz w:val="24"/>
        </w:rPr>
        <w:t>主编，《高分子</w:t>
      </w:r>
      <w:r>
        <w:rPr>
          <w:rFonts w:hint="eastAsia"/>
          <w:color w:val="000000"/>
          <w:sz w:val="24"/>
        </w:rPr>
        <w:t>化学与物理</w:t>
      </w:r>
      <w:r>
        <w:rPr>
          <w:color w:val="000000"/>
          <w:sz w:val="24"/>
        </w:rPr>
        <w:t>教程》，</w:t>
      </w:r>
      <w:r>
        <w:rPr>
          <w:rFonts w:hint="eastAsia"/>
          <w:color w:val="000000"/>
          <w:sz w:val="24"/>
        </w:rPr>
        <w:t>科学</w:t>
      </w:r>
      <w:r>
        <w:rPr>
          <w:color w:val="000000"/>
          <w:sz w:val="24"/>
        </w:rPr>
        <w:t>出版社，2013</w:t>
      </w:r>
      <w:r>
        <w:rPr>
          <w:rFonts w:hint="eastAsia"/>
          <w:color w:val="000000"/>
          <w:sz w:val="24"/>
        </w:rPr>
        <w:t>。</w:t>
      </w:r>
    </w:p>
    <w:p>
      <w:pPr>
        <w:spacing w:line="360" w:lineRule="auto"/>
        <w:rPr>
          <w:color w:val="000000"/>
          <w:sz w:val="24"/>
        </w:rPr>
      </w:pPr>
      <w:r>
        <w:rPr>
          <w:color w:val="000000"/>
          <w:sz w:val="24"/>
        </w:rPr>
        <w:t>2</w:t>
      </w:r>
      <w:r>
        <w:rPr>
          <w:rFonts w:hint="eastAsia"/>
          <w:color w:val="000000"/>
          <w:sz w:val="24"/>
        </w:rPr>
        <w:t>、赵长</w:t>
      </w:r>
      <w:r>
        <w:rPr>
          <w:color w:val="000000"/>
          <w:sz w:val="24"/>
        </w:rPr>
        <w:t>生</w:t>
      </w:r>
      <w:r>
        <w:rPr>
          <w:rFonts w:hint="eastAsia"/>
          <w:color w:val="000000"/>
          <w:sz w:val="24"/>
        </w:rPr>
        <w:t>，孙树东主</w:t>
      </w:r>
      <w:r>
        <w:rPr>
          <w:color w:val="000000"/>
          <w:sz w:val="24"/>
        </w:rPr>
        <w:t>编，《</w:t>
      </w:r>
      <w:r>
        <w:rPr>
          <w:rFonts w:hint="eastAsia"/>
          <w:color w:val="000000"/>
          <w:sz w:val="24"/>
        </w:rPr>
        <w:t>生物医用高分子材料</w:t>
      </w:r>
      <w:r>
        <w:rPr>
          <w:color w:val="000000"/>
          <w:sz w:val="24"/>
        </w:rPr>
        <w:t>》</w:t>
      </w:r>
      <w:r>
        <w:rPr>
          <w:rFonts w:hint="eastAsia"/>
          <w:color w:val="000000"/>
          <w:sz w:val="24"/>
        </w:rPr>
        <w:t>，化学工业出版社，20</w:t>
      </w:r>
      <w:r>
        <w:rPr>
          <w:color w:val="000000"/>
          <w:sz w:val="24"/>
        </w:rPr>
        <w:t>16</w:t>
      </w:r>
      <w:r>
        <w:rPr>
          <w:rFonts w:hint="eastAsia"/>
          <w:color w:val="000000"/>
          <w:sz w:val="24"/>
        </w:rPr>
        <w:t>。</w:t>
      </w:r>
    </w:p>
    <w:p>
      <w:pPr>
        <w:spacing w:line="360" w:lineRule="auto"/>
        <w:rPr>
          <w:color w:val="000000"/>
          <w:sz w:val="24"/>
        </w:rPr>
      </w:pPr>
      <w:r>
        <w:rPr>
          <w:rFonts w:hint="eastAsia"/>
          <w:color w:val="000000"/>
          <w:sz w:val="24"/>
        </w:rPr>
        <w:t>3、周长忍，赵长生主编，《生物医学材料学生物学评价》，人民卫生出版社，2</w:t>
      </w:r>
      <w:r>
        <w:rPr>
          <w:color w:val="000000"/>
          <w:sz w:val="24"/>
        </w:rPr>
        <w:t>020</w:t>
      </w:r>
      <w:r>
        <w:rPr>
          <w:rFonts w:hint="eastAsia"/>
          <w:color w:val="000000"/>
          <w:sz w:val="24"/>
        </w:rPr>
        <w:t>。</w:t>
      </w:r>
    </w:p>
    <w:p>
      <w:pPr>
        <w:spacing w:line="360" w:lineRule="auto"/>
        <w:rPr>
          <w:rFonts w:hint="eastAsia"/>
          <w:color w:val="000000"/>
          <w:sz w:val="24"/>
        </w:rPr>
      </w:pPr>
      <w:r>
        <w:rPr>
          <w:rFonts w:hint="eastAsia"/>
          <w:color w:val="000000"/>
          <w:sz w:val="24"/>
        </w:rPr>
        <w:t>4、陈晓峰，翁杰主编，《生物医学材料学性能与制备》，人民卫生出版社，2</w:t>
      </w:r>
      <w:r>
        <w:rPr>
          <w:color w:val="000000"/>
          <w:sz w:val="24"/>
        </w:rPr>
        <w:t>021</w:t>
      </w:r>
      <w:r>
        <w:rPr>
          <w:rFonts w:hint="eastAsia"/>
          <w:color w:val="000000"/>
          <w:sz w:val="24"/>
        </w:rPr>
        <w:t>。</w:t>
      </w:r>
    </w:p>
    <w:p>
      <w:pPr>
        <w:adjustRightInd w:val="0"/>
        <w:snapToGrid w:val="0"/>
        <w:spacing w:line="360" w:lineRule="auto"/>
        <w:rPr>
          <w:rFonts w:hint="eastAsia" w:ascii="宋体" w:hAnsi="宋体"/>
          <w:color w:val="000000"/>
          <w:sz w:val="24"/>
        </w:rPr>
      </w:pPr>
    </w:p>
    <w:p>
      <w:pPr>
        <w:spacing w:line="360" w:lineRule="auto"/>
        <w:rPr>
          <w:color w:val="00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6F"/>
    <w:rsid w:val="0000496E"/>
    <w:rsid w:val="00004E79"/>
    <w:rsid w:val="00011505"/>
    <w:rsid w:val="00014C5F"/>
    <w:rsid w:val="00024880"/>
    <w:rsid w:val="00024A57"/>
    <w:rsid w:val="0002641E"/>
    <w:rsid w:val="00030749"/>
    <w:rsid w:val="000834E0"/>
    <w:rsid w:val="000C5607"/>
    <w:rsid w:val="000E5FB7"/>
    <w:rsid w:val="001150C9"/>
    <w:rsid w:val="00115197"/>
    <w:rsid w:val="001240E5"/>
    <w:rsid w:val="0013387F"/>
    <w:rsid w:val="001464D3"/>
    <w:rsid w:val="00184074"/>
    <w:rsid w:val="00190EF9"/>
    <w:rsid w:val="001A0DFD"/>
    <w:rsid w:val="001A5143"/>
    <w:rsid w:val="001A782B"/>
    <w:rsid w:val="001B674B"/>
    <w:rsid w:val="001C6C5C"/>
    <w:rsid w:val="001D335E"/>
    <w:rsid w:val="001F2FB9"/>
    <w:rsid w:val="001F5B3A"/>
    <w:rsid w:val="00247B11"/>
    <w:rsid w:val="00266753"/>
    <w:rsid w:val="00292389"/>
    <w:rsid w:val="002A0D39"/>
    <w:rsid w:val="002E4A40"/>
    <w:rsid w:val="002F0C54"/>
    <w:rsid w:val="002F64FB"/>
    <w:rsid w:val="00315F5B"/>
    <w:rsid w:val="00333B5F"/>
    <w:rsid w:val="003366A2"/>
    <w:rsid w:val="00337F24"/>
    <w:rsid w:val="00357C63"/>
    <w:rsid w:val="0038076E"/>
    <w:rsid w:val="003840A5"/>
    <w:rsid w:val="003A48B6"/>
    <w:rsid w:val="003C3727"/>
    <w:rsid w:val="003D00B3"/>
    <w:rsid w:val="003F66E5"/>
    <w:rsid w:val="00403E06"/>
    <w:rsid w:val="00412CD5"/>
    <w:rsid w:val="00413FC9"/>
    <w:rsid w:val="00416E47"/>
    <w:rsid w:val="00430227"/>
    <w:rsid w:val="004331FD"/>
    <w:rsid w:val="00474EA3"/>
    <w:rsid w:val="00480F6D"/>
    <w:rsid w:val="004869A4"/>
    <w:rsid w:val="004A053C"/>
    <w:rsid w:val="004A0A03"/>
    <w:rsid w:val="004C1A24"/>
    <w:rsid w:val="004D53DB"/>
    <w:rsid w:val="0050069A"/>
    <w:rsid w:val="0050381D"/>
    <w:rsid w:val="00510229"/>
    <w:rsid w:val="00516FCC"/>
    <w:rsid w:val="00522BA5"/>
    <w:rsid w:val="0052584F"/>
    <w:rsid w:val="00531188"/>
    <w:rsid w:val="00555754"/>
    <w:rsid w:val="00557083"/>
    <w:rsid w:val="00561D66"/>
    <w:rsid w:val="00565021"/>
    <w:rsid w:val="00575C88"/>
    <w:rsid w:val="00576129"/>
    <w:rsid w:val="0058721A"/>
    <w:rsid w:val="005A0293"/>
    <w:rsid w:val="005A7BC7"/>
    <w:rsid w:val="005C5DCF"/>
    <w:rsid w:val="005C7AB7"/>
    <w:rsid w:val="005D0999"/>
    <w:rsid w:val="006016B4"/>
    <w:rsid w:val="0060661B"/>
    <w:rsid w:val="00616139"/>
    <w:rsid w:val="00621B45"/>
    <w:rsid w:val="0062230E"/>
    <w:rsid w:val="006243B4"/>
    <w:rsid w:val="006412DF"/>
    <w:rsid w:val="00641E0F"/>
    <w:rsid w:val="00672BA8"/>
    <w:rsid w:val="00683BBF"/>
    <w:rsid w:val="006A65CE"/>
    <w:rsid w:val="006B1964"/>
    <w:rsid w:val="006B550A"/>
    <w:rsid w:val="007144C2"/>
    <w:rsid w:val="00730F56"/>
    <w:rsid w:val="00733E39"/>
    <w:rsid w:val="007724F8"/>
    <w:rsid w:val="00782FDD"/>
    <w:rsid w:val="00795C85"/>
    <w:rsid w:val="007B506B"/>
    <w:rsid w:val="007B51ED"/>
    <w:rsid w:val="007B55A6"/>
    <w:rsid w:val="007E2FA0"/>
    <w:rsid w:val="007E3E88"/>
    <w:rsid w:val="00817030"/>
    <w:rsid w:val="00824E06"/>
    <w:rsid w:val="008472D5"/>
    <w:rsid w:val="00883E5F"/>
    <w:rsid w:val="00887F48"/>
    <w:rsid w:val="008B0169"/>
    <w:rsid w:val="008B5DBF"/>
    <w:rsid w:val="009076C9"/>
    <w:rsid w:val="00912B25"/>
    <w:rsid w:val="009408C1"/>
    <w:rsid w:val="009543EB"/>
    <w:rsid w:val="00954F43"/>
    <w:rsid w:val="00957DE2"/>
    <w:rsid w:val="00995BF1"/>
    <w:rsid w:val="009A568B"/>
    <w:rsid w:val="009D51A2"/>
    <w:rsid w:val="009E76BF"/>
    <w:rsid w:val="00A027B7"/>
    <w:rsid w:val="00A11695"/>
    <w:rsid w:val="00A3722C"/>
    <w:rsid w:val="00A3757D"/>
    <w:rsid w:val="00A706A6"/>
    <w:rsid w:val="00A9064C"/>
    <w:rsid w:val="00A9521F"/>
    <w:rsid w:val="00A962B5"/>
    <w:rsid w:val="00AB0651"/>
    <w:rsid w:val="00AB78BA"/>
    <w:rsid w:val="00AC08A2"/>
    <w:rsid w:val="00B117DD"/>
    <w:rsid w:val="00B21D6B"/>
    <w:rsid w:val="00B22D73"/>
    <w:rsid w:val="00B42D0A"/>
    <w:rsid w:val="00B53D90"/>
    <w:rsid w:val="00B912FC"/>
    <w:rsid w:val="00BA7A06"/>
    <w:rsid w:val="00BA7B65"/>
    <w:rsid w:val="00C018AF"/>
    <w:rsid w:val="00C12097"/>
    <w:rsid w:val="00C47CFB"/>
    <w:rsid w:val="00C52923"/>
    <w:rsid w:val="00C90EA3"/>
    <w:rsid w:val="00C95ADD"/>
    <w:rsid w:val="00CA130C"/>
    <w:rsid w:val="00CC0C12"/>
    <w:rsid w:val="00CC2DB8"/>
    <w:rsid w:val="00CC5699"/>
    <w:rsid w:val="00CF09CD"/>
    <w:rsid w:val="00D205BC"/>
    <w:rsid w:val="00D20E84"/>
    <w:rsid w:val="00D25996"/>
    <w:rsid w:val="00D65EC9"/>
    <w:rsid w:val="00D808C6"/>
    <w:rsid w:val="00DC5010"/>
    <w:rsid w:val="00DC6852"/>
    <w:rsid w:val="00DE194E"/>
    <w:rsid w:val="00DE47C4"/>
    <w:rsid w:val="00DF38AB"/>
    <w:rsid w:val="00E10C42"/>
    <w:rsid w:val="00E4142C"/>
    <w:rsid w:val="00E41715"/>
    <w:rsid w:val="00E4373B"/>
    <w:rsid w:val="00E438D9"/>
    <w:rsid w:val="00E4417D"/>
    <w:rsid w:val="00E558BD"/>
    <w:rsid w:val="00E61835"/>
    <w:rsid w:val="00E94AEB"/>
    <w:rsid w:val="00E9556F"/>
    <w:rsid w:val="00E97EEC"/>
    <w:rsid w:val="00EA4009"/>
    <w:rsid w:val="00EC6A28"/>
    <w:rsid w:val="00ED001C"/>
    <w:rsid w:val="00EE591C"/>
    <w:rsid w:val="00F10999"/>
    <w:rsid w:val="00F378B9"/>
    <w:rsid w:val="00F54B00"/>
    <w:rsid w:val="00F64F9A"/>
    <w:rsid w:val="00F6543D"/>
    <w:rsid w:val="00F67269"/>
    <w:rsid w:val="00F865F9"/>
    <w:rsid w:val="00F91D39"/>
    <w:rsid w:val="2FFC10C6"/>
    <w:rsid w:val="702C05BA"/>
    <w:rsid w:val="7A692B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0"/>
    <w:pPr>
      <w:keepNext/>
      <w:spacing w:before="240" w:after="60"/>
      <w:outlineLvl w:val="0"/>
    </w:pPr>
    <w:rPr>
      <w:rFonts w:ascii="Calibri Light" w:hAnsi="Calibri Light" w:eastAsia="等线 Light" w:cs="Times New Roman"/>
      <w:b/>
      <w:bCs/>
      <w:kern w:val="32"/>
      <w:sz w:val="32"/>
      <w:szCs w:val="32"/>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annotation text"/>
    <w:basedOn w:val="1"/>
    <w:link w:val="17"/>
    <w:uiPriority w:val="0"/>
    <w:rPr>
      <w:sz w:val="20"/>
      <w:szCs w:val="20"/>
    </w:rPr>
  </w:style>
  <w:style w:type="paragraph" w:styleId="5">
    <w:name w:val="Balloon Text"/>
    <w:basedOn w:val="1"/>
    <w:link w:val="18"/>
    <w:uiPriority w:val="0"/>
    <w:rPr>
      <w:rFonts w:ascii="Microsoft YaHei UI" w:eastAsia="Microsoft YaHei UI"/>
      <w:sz w:val="18"/>
      <w:szCs w:val="18"/>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15"/>
    <w:uiPriority w:val="0"/>
    <w:rPr>
      <w:b/>
      <w:bCs/>
    </w:rPr>
  </w:style>
  <w:style w:type="character" w:styleId="12">
    <w:name w:val="Hyperlink"/>
    <w:unhideWhenUsed/>
    <w:uiPriority w:val="99"/>
    <w:rPr>
      <w:color w:val="0000FF"/>
      <w:u w:val="single"/>
    </w:rPr>
  </w:style>
  <w:style w:type="character" w:styleId="13">
    <w:name w:val="annotation reference"/>
    <w:uiPriority w:val="0"/>
    <w:rPr>
      <w:sz w:val="16"/>
      <w:szCs w:val="16"/>
    </w:rPr>
  </w:style>
  <w:style w:type="character" w:customStyle="1" w:styleId="14">
    <w:name w:val="页眉 Char"/>
    <w:link w:val="7"/>
    <w:uiPriority w:val="0"/>
    <w:rPr>
      <w:kern w:val="2"/>
      <w:sz w:val="18"/>
      <w:szCs w:val="18"/>
    </w:rPr>
  </w:style>
  <w:style w:type="character" w:customStyle="1" w:styleId="15">
    <w:name w:val="批注主题 字符"/>
    <w:link w:val="9"/>
    <w:uiPriority w:val="0"/>
    <w:rPr>
      <w:b/>
      <w:bCs/>
      <w:kern w:val="2"/>
    </w:rPr>
  </w:style>
  <w:style w:type="character" w:customStyle="1" w:styleId="16">
    <w:name w:val="页脚 Char"/>
    <w:link w:val="6"/>
    <w:uiPriority w:val="0"/>
    <w:rPr>
      <w:kern w:val="2"/>
      <w:sz w:val="18"/>
      <w:szCs w:val="18"/>
    </w:rPr>
  </w:style>
  <w:style w:type="character" w:customStyle="1" w:styleId="17">
    <w:name w:val="批注文字 字符"/>
    <w:link w:val="4"/>
    <w:uiPriority w:val="0"/>
    <w:rPr>
      <w:kern w:val="2"/>
    </w:rPr>
  </w:style>
  <w:style w:type="character" w:customStyle="1" w:styleId="18">
    <w:name w:val="批注框文本 字符"/>
    <w:link w:val="5"/>
    <w:uiPriority w:val="0"/>
    <w:rPr>
      <w:rFonts w:ascii="Microsoft YaHei UI" w:eastAsia="Microsoft YaHei UI"/>
      <w:kern w:val="2"/>
      <w:sz w:val="18"/>
      <w:szCs w:val="18"/>
    </w:rPr>
  </w:style>
  <w:style w:type="character" w:customStyle="1" w:styleId="19">
    <w:name w:val="标题 1 字符"/>
    <w:link w:val="2"/>
    <w:uiPriority w:val="0"/>
    <w:rPr>
      <w:rFonts w:ascii="Calibri Light" w:hAnsi="Calibri Light" w:eastAsia="等线 Light" w:cs="Times New Roman"/>
      <w:b/>
      <w:bCs/>
      <w:kern w:val="3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375</Words>
  <Characters>2139</Characters>
  <Lines>17</Lines>
  <Paragraphs>5</Paragraphs>
  <TotalTime>0</TotalTime>
  <ScaleCrop>false</ScaleCrop>
  <LinksUpToDate>false</LinksUpToDate>
  <CharactersWithSpaces>2509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2021-07-09T03:51:00Z</dcterms:created>
  <dc:creator>a</dc:creator>
  <cp:lastModifiedBy>Administrator</cp:lastModifiedBy>
  <dcterms:modified xsi:type="dcterms:W3CDTF">2021-08-27T02:51:56Z</dcterms:modified>
  <dc:title>“高分子化学与物理”考试大纲（816）</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