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56" w:beforeLines="50" w:after="156" w:afterLines="50" w:line="500" w:lineRule="exact"/>
        <w:jc w:val="center"/>
        <w:rPr>
          <w:rFonts w:hint="eastAsia" w:eastAsia="黑体"/>
          <w:sz w:val="32"/>
          <w:szCs w:val="32"/>
        </w:rPr>
      </w:pPr>
      <w:bookmarkStart w:id="1" w:name="_GoBack"/>
      <w:bookmarkEnd w:id="1"/>
      <w:bookmarkStart w:id="0" w:name="_Toc387940309"/>
      <w:r>
        <w:rPr>
          <w:rFonts w:eastAsia="黑体"/>
          <w:sz w:val="32"/>
          <w:szCs w:val="32"/>
        </w:rPr>
        <w:t>20</w:t>
      </w:r>
      <w:r>
        <w:rPr>
          <w:rFonts w:hint="eastAsia" w:eastAsia="黑体"/>
          <w:sz w:val="32"/>
          <w:szCs w:val="32"/>
        </w:rPr>
        <w:t>22</w:t>
      </w:r>
      <w:r>
        <w:rPr>
          <w:rFonts w:eastAsia="黑体"/>
          <w:sz w:val="32"/>
          <w:szCs w:val="32"/>
        </w:rPr>
        <w:t>年硕士研究生入学考试</w:t>
      </w:r>
      <w:r>
        <w:rPr>
          <w:rFonts w:hint="eastAsia" w:eastAsia="黑体"/>
          <w:sz w:val="32"/>
          <w:szCs w:val="32"/>
        </w:rPr>
        <w:t>自命题科目考试</w:t>
      </w:r>
      <w:r>
        <w:rPr>
          <w:rFonts w:eastAsia="黑体"/>
          <w:sz w:val="32"/>
          <w:szCs w:val="32"/>
        </w:rPr>
        <w:t>大纲</w:t>
      </w:r>
    </w:p>
    <w:p>
      <w:pPr>
        <w:snapToGrid w:val="0"/>
        <w:spacing w:before="156" w:beforeLines="50" w:after="156" w:afterLines="50"/>
        <w:jc w:val="center"/>
        <w:outlineLvl w:val="1"/>
        <w:rPr>
          <w:rFonts w:hint="eastAsia" w:eastAsia="方正书宋简体"/>
          <w:sz w:val="24"/>
        </w:rPr>
      </w:pPr>
      <w:r>
        <w:rPr>
          <w:rFonts w:eastAsia="方正书宋简体"/>
          <w:sz w:val="24"/>
        </w:rPr>
        <w:t>科目代码：</w:t>
      </w:r>
      <w:r>
        <w:rPr>
          <w:rFonts w:hint="eastAsia" w:eastAsia="方正书宋简体"/>
          <w:sz w:val="24"/>
          <w:highlight w:val="none"/>
          <w:lang w:val="en-US" w:eastAsia="zh-CN"/>
        </w:rPr>
        <w:t>883</w:t>
      </w:r>
      <w:r>
        <w:rPr>
          <w:rFonts w:eastAsia="方正书宋简体"/>
          <w:sz w:val="24"/>
        </w:rPr>
        <w:t xml:space="preserve">  </w:t>
      </w:r>
      <w:r>
        <w:rPr>
          <w:rFonts w:hint="eastAsia" w:eastAsia="方正书宋简体"/>
          <w:sz w:val="24"/>
          <w:lang w:val="en-US" w:eastAsia="zh-CN"/>
        </w:rPr>
        <w:t xml:space="preserve">      </w:t>
      </w:r>
      <w:r>
        <w:rPr>
          <w:rFonts w:eastAsia="方正书宋简体"/>
          <w:sz w:val="24"/>
        </w:rPr>
        <w:t xml:space="preserve"> 科目名称：</w:t>
      </w:r>
      <w:bookmarkEnd w:id="0"/>
      <w:r>
        <w:rPr>
          <w:rFonts w:hint="eastAsia" w:eastAsia="方正书宋简体"/>
          <w:sz w:val="24"/>
        </w:rPr>
        <w:t>国际维和行动综合</w:t>
      </w:r>
    </w:p>
    <w:p>
      <w:pPr>
        <w:snapToGrid w:val="0"/>
        <w:spacing w:before="156" w:beforeLines="50" w:after="156" w:afterLines="50"/>
        <w:rPr>
          <w:rFonts w:hint="eastAsia" w:eastAsia="黑体"/>
          <w:szCs w:val="21"/>
        </w:rPr>
      </w:pPr>
    </w:p>
    <w:p>
      <w:pPr>
        <w:snapToGrid w:val="0"/>
        <w:spacing w:before="156" w:beforeLines="50" w:after="156" w:afterLines="50"/>
        <w:ind w:firstLine="420" w:firstLineChars="200"/>
        <w:rPr>
          <w:rFonts w:eastAsia="黑体"/>
          <w:szCs w:val="21"/>
        </w:rPr>
      </w:pPr>
      <w:r>
        <w:rPr>
          <w:rFonts w:eastAsia="黑体"/>
          <w:szCs w:val="21"/>
        </w:rPr>
        <w:t>一</w:t>
      </w:r>
      <w:r>
        <w:rPr>
          <w:rFonts w:hint="eastAsia" w:eastAsia="黑体"/>
          <w:szCs w:val="21"/>
        </w:rPr>
        <w:t>、</w:t>
      </w:r>
      <w:r>
        <w:rPr>
          <w:rFonts w:eastAsia="黑体"/>
          <w:szCs w:val="21"/>
        </w:rPr>
        <w:t>考试要求</w:t>
      </w:r>
    </w:p>
    <w:p>
      <w:pPr>
        <w:snapToGrid w:val="0"/>
        <w:spacing w:before="156" w:beforeLines="50" w:after="156" w:afterLines="50"/>
        <w:ind w:firstLine="420" w:firstLineChars="200"/>
        <w:rPr>
          <w:rFonts w:eastAsia="仿宋_GB2312"/>
          <w:szCs w:val="21"/>
        </w:rPr>
      </w:pPr>
      <w:r>
        <w:rPr>
          <w:rFonts w:eastAsia="仿宋_GB2312"/>
          <w:szCs w:val="21"/>
        </w:rPr>
        <w:t>主要考察考生对</w:t>
      </w:r>
      <w:r>
        <w:rPr>
          <w:rFonts w:hint="eastAsia" w:eastAsia="仿宋_GB2312"/>
          <w:szCs w:val="21"/>
        </w:rPr>
        <w:t>联合国维和行动的历史、现状及其运作机制的</w:t>
      </w:r>
      <w:r>
        <w:rPr>
          <w:rFonts w:eastAsia="仿宋_GB2312"/>
          <w:szCs w:val="21"/>
        </w:rPr>
        <w:t>理解与掌握</w:t>
      </w:r>
      <w:r>
        <w:rPr>
          <w:rFonts w:hint="eastAsia" w:eastAsia="仿宋_GB2312"/>
          <w:szCs w:val="21"/>
        </w:rPr>
        <w:t>，同时考察考生对维和情报工作基本知识</w:t>
      </w:r>
      <w:r>
        <w:rPr>
          <w:rFonts w:eastAsia="仿宋_GB2312"/>
          <w:szCs w:val="21"/>
        </w:rPr>
        <w:t>。要求学生</w:t>
      </w:r>
      <w:r>
        <w:rPr>
          <w:rFonts w:hint="eastAsia" w:eastAsia="仿宋_GB2312"/>
          <w:szCs w:val="21"/>
        </w:rPr>
        <w:t>系统掌握联合国维和行动与国际法、国际安全、国际政治、武装冲突、国际与地区组织等之间的辨证关系、维和情报工作的一般规律，</w:t>
      </w:r>
      <w:r>
        <w:rPr>
          <w:rFonts w:eastAsia="仿宋_GB2312"/>
          <w:szCs w:val="21"/>
        </w:rPr>
        <w:t>能够熟练运用</w:t>
      </w:r>
      <w:r>
        <w:rPr>
          <w:rFonts w:hint="eastAsia" w:eastAsia="仿宋_GB2312"/>
          <w:szCs w:val="21"/>
        </w:rPr>
        <w:t>相关知识分析联合国维和行动相关战略问题</w:t>
      </w:r>
      <w:r>
        <w:rPr>
          <w:rFonts w:eastAsia="仿宋_GB2312"/>
          <w:szCs w:val="21"/>
        </w:rPr>
        <w:t>。</w:t>
      </w:r>
    </w:p>
    <w:p>
      <w:pPr>
        <w:snapToGrid w:val="0"/>
        <w:spacing w:before="156" w:beforeLines="50" w:after="156" w:afterLines="50"/>
        <w:rPr>
          <w:rFonts w:hint="eastAsia" w:eastAsia="黑体"/>
          <w:szCs w:val="21"/>
        </w:rPr>
      </w:pPr>
    </w:p>
    <w:p>
      <w:pPr>
        <w:snapToGrid w:val="0"/>
        <w:spacing w:before="156" w:beforeLines="50" w:after="156" w:afterLines="50"/>
        <w:ind w:firstLine="315" w:firstLineChars="150"/>
        <w:rPr>
          <w:rFonts w:eastAsia="黑体"/>
          <w:szCs w:val="21"/>
        </w:rPr>
      </w:pPr>
      <w:r>
        <w:rPr>
          <w:rFonts w:eastAsia="黑体"/>
          <w:szCs w:val="21"/>
        </w:rPr>
        <w:t>二、考试内容</w:t>
      </w:r>
    </w:p>
    <w:p>
      <w:pPr>
        <w:snapToGrid w:val="0"/>
        <w:spacing w:before="156" w:beforeLines="50" w:after="156" w:afterLines="50"/>
        <w:ind w:firstLine="422" w:firstLineChars="200"/>
        <w:rPr>
          <w:rFonts w:eastAsia="仿宋_GB2312"/>
          <w:b/>
          <w:szCs w:val="21"/>
        </w:rPr>
      </w:pPr>
      <w:r>
        <w:rPr>
          <w:rFonts w:eastAsia="仿宋_GB2312"/>
          <w:b/>
          <w:szCs w:val="21"/>
        </w:rPr>
        <w:t>1．</w:t>
      </w:r>
      <w:r>
        <w:rPr>
          <w:rFonts w:hint="eastAsia" w:eastAsia="仿宋_GB2312"/>
          <w:b/>
          <w:szCs w:val="21"/>
        </w:rPr>
        <w:t>联合国维和行动的法律基础</w:t>
      </w:r>
      <w:r>
        <w:rPr>
          <w:rFonts w:hint="eastAsia" w:eastAsia="仿宋_GB2312"/>
          <w:b/>
          <w:szCs w:val="21"/>
          <w:lang w:val="en-US" w:eastAsia="zh-CN"/>
        </w:rPr>
        <w:t xml:space="preserve"> （20分）</w:t>
      </w:r>
    </w:p>
    <w:p>
      <w:pPr>
        <w:snapToGrid w:val="0"/>
        <w:spacing w:before="156" w:beforeLines="50" w:after="156" w:afterLines="50"/>
        <w:ind w:firstLine="420" w:firstLineChars="200"/>
        <w:rPr>
          <w:rFonts w:hint="eastAsia" w:eastAsia="仿宋_GB2312"/>
          <w:szCs w:val="21"/>
        </w:rPr>
      </w:pPr>
      <w:r>
        <w:rPr>
          <w:rFonts w:hint="eastAsia" w:eastAsia="仿宋_GB2312"/>
          <w:szCs w:val="21"/>
        </w:rPr>
        <w:t>掌握联合国维和行动的法律基础，包括《联合国宪章》基本宗旨、国际人道主义法、国际人权法对联合国维和行动的支持与限制，对联合国维和行动授权的指导意义，能够通过具体案例加以解释论证，进而深刻认识理解联合国维和行动与相关法律之间的逻辑关系。</w:t>
      </w:r>
    </w:p>
    <w:p>
      <w:pPr>
        <w:snapToGrid w:val="0"/>
        <w:spacing w:before="156" w:beforeLines="50" w:after="156" w:afterLines="50"/>
        <w:ind w:firstLine="422" w:firstLineChars="200"/>
        <w:rPr>
          <w:rFonts w:eastAsia="仿宋_GB2312"/>
          <w:b/>
          <w:szCs w:val="21"/>
        </w:rPr>
      </w:pPr>
      <w:r>
        <w:rPr>
          <w:rFonts w:eastAsia="仿宋_GB2312"/>
          <w:b/>
          <w:szCs w:val="21"/>
        </w:rPr>
        <w:t>2．</w:t>
      </w:r>
      <w:r>
        <w:rPr>
          <w:rFonts w:hint="eastAsia" w:eastAsia="仿宋_GB2312"/>
          <w:b/>
          <w:szCs w:val="21"/>
        </w:rPr>
        <w:t>联合国维和实践及其规律</w:t>
      </w:r>
      <w:r>
        <w:rPr>
          <w:rFonts w:hint="eastAsia" w:eastAsia="仿宋_GB2312"/>
          <w:b/>
          <w:szCs w:val="21"/>
          <w:lang w:val="en-US" w:eastAsia="zh-CN"/>
        </w:rPr>
        <w:t xml:space="preserve"> （40分）</w:t>
      </w:r>
    </w:p>
    <w:p>
      <w:pPr>
        <w:snapToGrid w:val="0"/>
        <w:spacing w:before="156" w:beforeLines="50" w:after="156" w:afterLines="50"/>
        <w:ind w:firstLine="420" w:firstLineChars="200"/>
        <w:rPr>
          <w:rFonts w:hint="eastAsia" w:eastAsia="仿宋_GB2312"/>
          <w:szCs w:val="21"/>
        </w:rPr>
      </w:pPr>
      <w:r>
        <w:rPr>
          <w:rFonts w:hint="eastAsia" w:eastAsia="仿宋_GB2312"/>
          <w:szCs w:val="21"/>
        </w:rPr>
        <w:t>了解并把握联合国维和行动与国际安全、国际政治、经济与社会发展等问题之间的内在关系，以及这些因素对联合国维和行动的影响，认识联合国维和行动对国际和平与安全、地区发展的贡献和影响。</w:t>
      </w:r>
    </w:p>
    <w:p>
      <w:pPr>
        <w:numPr>
          <w:ilvl w:val="0"/>
          <w:numId w:val="1"/>
        </w:numPr>
        <w:snapToGrid w:val="0"/>
        <w:spacing w:before="156" w:beforeLines="50" w:after="156" w:afterLines="50"/>
        <w:ind w:firstLine="422" w:firstLineChars="200"/>
        <w:rPr>
          <w:rFonts w:hint="eastAsia" w:eastAsia="仿宋_GB2312"/>
          <w:b/>
          <w:szCs w:val="21"/>
        </w:rPr>
      </w:pPr>
      <w:r>
        <w:rPr>
          <w:rFonts w:hint="eastAsia" w:eastAsia="仿宋_GB2312"/>
          <w:b/>
          <w:szCs w:val="21"/>
        </w:rPr>
        <w:t>联合国维和情报工作基础及方法</w:t>
      </w:r>
      <w:r>
        <w:rPr>
          <w:rFonts w:hint="eastAsia" w:eastAsia="仿宋_GB2312"/>
          <w:b/>
          <w:szCs w:val="21"/>
          <w:lang w:val="en-US" w:eastAsia="zh-CN"/>
        </w:rPr>
        <w:t xml:space="preserve"> （40分）</w:t>
      </w:r>
    </w:p>
    <w:p>
      <w:pPr>
        <w:snapToGrid w:val="0"/>
        <w:spacing w:before="156" w:beforeLines="50" w:after="156" w:afterLines="50"/>
        <w:rPr>
          <w:rFonts w:eastAsia="仿宋_GB2312"/>
          <w:b/>
          <w:szCs w:val="21"/>
        </w:rPr>
      </w:pPr>
      <w:r>
        <w:rPr>
          <w:rFonts w:hint="eastAsia" w:eastAsia="仿宋_GB2312"/>
          <w:b/>
          <w:szCs w:val="21"/>
        </w:rPr>
        <w:t xml:space="preserve">    </w:t>
      </w:r>
      <w:r>
        <w:rPr>
          <w:rFonts w:hint="eastAsia" w:eastAsia="仿宋_GB2312"/>
          <w:szCs w:val="21"/>
        </w:rPr>
        <w:t>掌握联合国维和情报工作基础、工作机制，特别是维和情报分析的内涵、外延、作用；理解并掌握维和情报分析方法体系结构以及分析方法的方法机理和应用路径。</w:t>
      </w:r>
    </w:p>
    <w:p>
      <w:pPr>
        <w:snapToGrid w:val="0"/>
        <w:spacing w:before="156" w:beforeLines="50" w:after="156" w:afterLines="50"/>
        <w:rPr>
          <w:rFonts w:hint="eastAsia" w:eastAsia="黑体"/>
          <w:szCs w:val="21"/>
        </w:rPr>
      </w:pPr>
    </w:p>
    <w:p>
      <w:pPr>
        <w:snapToGrid w:val="0"/>
        <w:spacing w:before="156" w:beforeLines="50" w:after="156" w:afterLines="50"/>
        <w:ind w:firstLine="315" w:firstLineChars="150"/>
        <w:rPr>
          <w:rFonts w:eastAsia="黑体"/>
          <w:szCs w:val="21"/>
        </w:rPr>
      </w:pPr>
      <w:r>
        <w:rPr>
          <w:rFonts w:eastAsia="黑体"/>
          <w:szCs w:val="21"/>
        </w:rPr>
        <w:t>三、考试形式</w:t>
      </w:r>
    </w:p>
    <w:p>
      <w:pPr>
        <w:snapToGrid w:val="0"/>
        <w:spacing w:before="156" w:beforeLines="50" w:after="156" w:afterLines="50"/>
        <w:ind w:firstLine="420" w:firstLineChars="200"/>
        <w:rPr>
          <w:rFonts w:eastAsia="仿宋_GB2312"/>
          <w:szCs w:val="21"/>
        </w:rPr>
      </w:pPr>
      <w:r>
        <w:rPr>
          <w:rFonts w:eastAsia="仿宋_GB2312"/>
          <w:szCs w:val="21"/>
        </w:rPr>
        <w:t>考试形式为闭卷、笔试，考试时间为</w:t>
      </w:r>
      <w:r>
        <w:rPr>
          <w:rFonts w:hint="eastAsia" w:eastAsia="仿宋_GB2312"/>
          <w:szCs w:val="21"/>
        </w:rPr>
        <w:t>2</w:t>
      </w:r>
      <w:r>
        <w:rPr>
          <w:rFonts w:eastAsia="仿宋_GB2312"/>
          <w:szCs w:val="21"/>
        </w:rPr>
        <w:t>小时，满分1</w:t>
      </w:r>
      <w:r>
        <w:rPr>
          <w:rFonts w:hint="eastAsia" w:eastAsia="仿宋_GB2312"/>
          <w:szCs w:val="21"/>
        </w:rPr>
        <w:t>00</w:t>
      </w:r>
      <w:r>
        <w:rPr>
          <w:rFonts w:eastAsia="仿宋_GB2312"/>
          <w:szCs w:val="21"/>
        </w:rPr>
        <w:t>分。</w:t>
      </w:r>
    </w:p>
    <w:p>
      <w:pPr>
        <w:snapToGrid w:val="0"/>
        <w:spacing w:before="156" w:beforeLines="50" w:after="156" w:afterLines="50"/>
        <w:ind w:firstLine="420" w:firstLineChars="200"/>
        <w:rPr>
          <w:rFonts w:eastAsia="仿宋_GB2312"/>
          <w:szCs w:val="21"/>
        </w:rPr>
      </w:pPr>
      <w:r>
        <w:rPr>
          <w:rFonts w:eastAsia="仿宋_GB2312"/>
          <w:szCs w:val="21"/>
        </w:rPr>
        <w:t>题型包括：</w:t>
      </w:r>
      <w:r>
        <w:rPr>
          <w:rFonts w:eastAsia="仿宋_GB2312"/>
          <w:sz w:val="20"/>
          <w:szCs w:val="21"/>
        </w:rPr>
        <w:t>简答题、</w:t>
      </w:r>
      <w:r>
        <w:rPr>
          <w:rFonts w:hint="eastAsia" w:eastAsia="仿宋_GB2312"/>
          <w:sz w:val="20"/>
          <w:szCs w:val="21"/>
        </w:rPr>
        <w:t>论述</w:t>
      </w:r>
      <w:r>
        <w:rPr>
          <w:rFonts w:eastAsia="仿宋_GB2312"/>
          <w:sz w:val="20"/>
          <w:szCs w:val="21"/>
        </w:rPr>
        <w:t>题</w:t>
      </w:r>
      <w:r>
        <w:rPr>
          <w:rFonts w:hint="eastAsia" w:eastAsia="仿宋_GB2312"/>
          <w:sz w:val="20"/>
          <w:szCs w:val="21"/>
        </w:rPr>
        <w:t>、材料分析题</w:t>
      </w:r>
      <w:r>
        <w:rPr>
          <w:rFonts w:eastAsia="仿宋_GB2312"/>
          <w:sz w:val="20"/>
          <w:szCs w:val="21"/>
        </w:rPr>
        <w:t>。</w:t>
      </w:r>
    </w:p>
    <w:p>
      <w:pPr>
        <w:snapToGrid w:val="0"/>
        <w:spacing w:before="156" w:beforeLines="50" w:after="156" w:afterLines="50"/>
        <w:rPr>
          <w:rFonts w:hint="eastAsia" w:eastAsia="黑体"/>
          <w:szCs w:val="21"/>
        </w:rPr>
      </w:pPr>
    </w:p>
    <w:p>
      <w:pPr>
        <w:snapToGrid w:val="0"/>
        <w:spacing w:before="156" w:beforeLines="50" w:after="156" w:afterLines="50"/>
        <w:ind w:firstLine="315" w:firstLineChars="150"/>
        <w:rPr>
          <w:rFonts w:eastAsia="黑体"/>
          <w:szCs w:val="21"/>
        </w:rPr>
      </w:pPr>
      <w:r>
        <w:rPr>
          <w:rFonts w:eastAsia="黑体"/>
          <w:szCs w:val="21"/>
        </w:rPr>
        <w:t>四、参考书目</w:t>
      </w:r>
    </w:p>
    <w:p>
      <w:pPr>
        <w:snapToGrid w:val="0"/>
        <w:spacing w:before="156" w:beforeLines="50" w:after="156" w:afterLines="50"/>
        <w:ind w:firstLine="420" w:firstLineChars="200"/>
        <w:rPr>
          <w:rFonts w:hint="eastAsia" w:eastAsia="仿宋_GB2312"/>
          <w:szCs w:val="21"/>
        </w:rPr>
      </w:pPr>
      <w:r>
        <w:rPr>
          <w:rFonts w:hint="eastAsia" w:eastAsia="仿宋_GB2312"/>
          <w:szCs w:val="21"/>
        </w:rPr>
        <w:t xml:space="preserve">1. 《新中国军事外交与国际维和研究》. 杜农一, 周辉, 杨凯. </w:t>
      </w:r>
      <w:r>
        <w:rPr>
          <w:rFonts w:eastAsia="仿宋_GB2312"/>
          <w:szCs w:val="21"/>
        </w:rPr>
        <w:t>国防大学出版社</w:t>
      </w:r>
      <w:r>
        <w:rPr>
          <w:rFonts w:hint="eastAsia" w:eastAsia="仿宋_GB2312"/>
          <w:szCs w:val="21"/>
        </w:rPr>
        <w:t>. 2015, 第一版。</w:t>
      </w:r>
    </w:p>
    <w:p>
      <w:pPr>
        <w:snapToGrid w:val="0"/>
        <w:spacing w:before="156" w:beforeLines="50" w:after="156" w:afterLines="50"/>
        <w:ind w:firstLine="420" w:firstLineChars="200"/>
        <w:rPr>
          <w:rFonts w:hint="eastAsia" w:eastAsia="仿宋_GB2312"/>
          <w:szCs w:val="21"/>
        </w:rPr>
      </w:pPr>
      <w:r>
        <w:rPr>
          <w:rFonts w:hint="eastAsia" w:eastAsia="仿宋_GB2312"/>
          <w:szCs w:val="21"/>
        </w:rPr>
        <w:t xml:space="preserve">2. 《维和行动情报保障研究》. 刘钊、陈永刚. 军事谊文出版社. </w:t>
      </w:r>
      <w:r>
        <w:rPr>
          <w:rFonts w:eastAsia="仿宋_GB2312"/>
          <w:szCs w:val="21"/>
        </w:rPr>
        <w:t>2004</w:t>
      </w:r>
      <w:r>
        <w:rPr>
          <w:rFonts w:hint="eastAsia" w:eastAsia="仿宋_GB2312"/>
          <w:szCs w:val="21"/>
        </w:rPr>
        <w:t>, 第一版。</w:t>
      </w:r>
    </w:p>
    <w:p>
      <w:pPr>
        <w:snapToGrid w:val="0"/>
        <w:spacing w:before="156" w:beforeLines="50" w:after="156" w:afterLines="50"/>
        <w:ind w:left="210" w:leftChars="100" w:firstLine="210" w:firstLineChars="100"/>
        <w:rPr>
          <w:rFonts w:eastAsia="仿宋_GB2312"/>
          <w:szCs w:val="21"/>
        </w:rPr>
      </w:pPr>
      <w:r>
        <w:rPr>
          <w:rFonts w:hint="eastAsia"/>
        </w:rPr>
        <w:t xml:space="preserve">3. </w:t>
      </w:r>
      <w:r>
        <w:rPr>
          <w:rFonts w:hint="eastAsia" w:eastAsia="仿宋_GB2312"/>
          <w:szCs w:val="21"/>
        </w:rPr>
        <w:t>《中国军队参加联合国维和行动30年》白皮书、《联合国宪章》、《国际人道主义法》、《武装冲突法》、Peacekeeping Intelligence Policy, United Nations Military Peacekeeping-Intelligence Handbook等，可参见网络。</w:t>
      </w:r>
    </w:p>
    <w:sectPr>
      <w:headerReference r:id="rId5" w:type="first"/>
      <w:footerReference r:id="rId8" w:type="first"/>
      <w:headerReference r:id="rId3" w:type="default"/>
      <w:footerReference r:id="rId6" w:type="default"/>
      <w:headerReference r:id="rId4" w:type="even"/>
      <w:footerReference r:id="rId7" w:type="even"/>
      <w:pgSz w:w="11906" w:h="16838"/>
      <w:pgMar w:top="1418" w:right="1134" w:bottom="1134" w:left="1134" w:header="851" w:footer="851"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宋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lang/>
      </w:rPr>
      <w:t>2</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lang/>
      </w:rPr>
      <w:t>2</w:t>
    </w:r>
    <w:r>
      <w:rPr>
        <w:kern w:val="0"/>
        <w:szCs w:val="21"/>
      </w:rPr>
      <w:fldChar w:fldCharType="end"/>
    </w:r>
    <w:r>
      <w:rPr>
        <w:rFonts w:hint="eastAsia"/>
        <w:kern w:val="0"/>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lang/>
      </w:rPr>
      <w:t>1</w:t>
    </w:r>
    <w:r>
      <w:rPr>
        <w:kern w:val="0"/>
        <w:szCs w:val="21"/>
      </w:rPr>
      <w:fldChar w:fldCharType="end"/>
    </w:r>
    <w:r>
      <w:rPr>
        <w:rFonts w:hint="eastAsia"/>
        <w:kern w:val="0"/>
        <w:szCs w:val="21"/>
      </w:rPr>
      <w:t xml:space="preserve"> 页，共 </w:t>
    </w:r>
    <w:r>
      <w:rPr>
        <w:kern w:val="0"/>
        <w:szCs w:val="21"/>
      </w:rPr>
      <w:fldChar w:fldCharType="begin"/>
    </w:r>
    <w:r>
      <w:rPr>
        <w:kern w:val="0"/>
        <w:szCs w:val="21"/>
      </w:rPr>
      <w:instrText xml:space="preserve"> NUMPAGES </w:instrText>
    </w:r>
    <w:r>
      <w:rPr>
        <w:kern w:val="0"/>
        <w:szCs w:val="21"/>
      </w:rPr>
      <w:fldChar w:fldCharType="separate"/>
    </w:r>
    <w:r>
      <w:rPr>
        <w:kern w:val="0"/>
        <w:szCs w:val="21"/>
        <w:lang/>
      </w:rPr>
      <w:t>1</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国防科学技术大学2022年硕士研究生入学考试自命题科目考试大纲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85B1B"/>
    <w:multiLevelType w:val="singleLevel"/>
    <w:tmpl w:val="5BA85B1B"/>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D628E7"/>
    <w:rsid w:val="00110365"/>
    <w:rsid w:val="00144051"/>
    <w:rsid w:val="001E2A3A"/>
    <w:rsid w:val="0036126D"/>
    <w:rsid w:val="00403ABA"/>
    <w:rsid w:val="00417228"/>
    <w:rsid w:val="0043106D"/>
    <w:rsid w:val="00462D01"/>
    <w:rsid w:val="004C7E1B"/>
    <w:rsid w:val="00553F14"/>
    <w:rsid w:val="00564E4C"/>
    <w:rsid w:val="005B132B"/>
    <w:rsid w:val="006235EB"/>
    <w:rsid w:val="00661242"/>
    <w:rsid w:val="0069160B"/>
    <w:rsid w:val="006E241A"/>
    <w:rsid w:val="0076415F"/>
    <w:rsid w:val="008A4B02"/>
    <w:rsid w:val="008E2CA3"/>
    <w:rsid w:val="00974A65"/>
    <w:rsid w:val="009D2966"/>
    <w:rsid w:val="00A52CFC"/>
    <w:rsid w:val="00A77A62"/>
    <w:rsid w:val="00AB1BCF"/>
    <w:rsid w:val="00B87A7D"/>
    <w:rsid w:val="00BA077A"/>
    <w:rsid w:val="00C7248C"/>
    <w:rsid w:val="00C76660"/>
    <w:rsid w:val="00DE3CA5"/>
    <w:rsid w:val="00E40685"/>
    <w:rsid w:val="00E67575"/>
    <w:rsid w:val="00E7193E"/>
    <w:rsid w:val="00F1119C"/>
    <w:rsid w:val="00F173B9"/>
    <w:rsid w:val="00F422C8"/>
    <w:rsid w:val="00F669A1"/>
    <w:rsid w:val="0BC76BDF"/>
    <w:rsid w:val="101B5479"/>
    <w:rsid w:val="165C7B24"/>
    <w:rsid w:val="1C987D18"/>
    <w:rsid w:val="2F642F4F"/>
    <w:rsid w:val="34F13EEA"/>
    <w:rsid w:val="44146C41"/>
    <w:rsid w:val="4586581D"/>
    <w:rsid w:val="46573854"/>
    <w:rsid w:val="4C58104F"/>
    <w:rsid w:val="4DEB17E5"/>
    <w:rsid w:val="56014437"/>
    <w:rsid w:val="5D3822F2"/>
    <w:rsid w:val="5FE307E1"/>
    <w:rsid w:val="72D628E7"/>
    <w:rsid w:val="73B7772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5">
    <w:name w:val="Default Paragraph Font"/>
    <w:unhideWhenUsed/>
    <w:uiPriority w:val="0"/>
  </w:style>
  <w:style w:type="table" w:default="1" w:styleId="4">
    <w:name w:val="Normal Table"/>
    <w:unhideWhenUsed/>
    <w:uiPriority w:val="99"/>
    <w:tblPr>
      <w:tblStyle w:val="4"/>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snapToGrid w:val="0"/>
      <w:jc w:val="left"/>
    </w:pPr>
    <w:rPr>
      <w:sz w:val="18"/>
      <w:szCs w:val="18"/>
    </w:rPr>
  </w:style>
  <w:style w:type="paragraph" w:styleId="3">
    <w:name w:val="header"/>
    <w:basedOn w:val="1"/>
    <w:unhideWhenUsed/>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126</Words>
  <Characters>723</Characters>
  <Lines>6</Lines>
  <Paragraphs>1</Paragraphs>
  <TotalTime>0</TotalTime>
  <ScaleCrop>false</ScaleCrop>
  <LinksUpToDate>false</LinksUpToDate>
  <CharactersWithSpaces>848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2018-09-24T03:15:00Z</dcterms:created>
  <dc:creator>Administrator</dc:creator>
  <cp:lastModifiedBy>Administrator</cp:lastModifiedBy>
  <dcterms:modified xsi:type="dcterms:W3CDTF">2021-08-26T02:51:42Z</dcterms:modified>
  <dc:title>国际关系学院    （联系人：                       ）</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