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0EA" w:rsidRPr="009300EA" w:rsidRDefault="009300EA" w:rsidP="009300EA">
      <w:pPr>
        <w:spacing w:line="400" w:lineRule="exact"/>
        <w:ind w:firstLineChars="0" w:firstLine="0"/>
        <w:jc w:val="left"/>
        <w:rPr>
          <w:rFonts w:ascii="黑体" w:eastAsia="黑体" w:hAnsi="Times New Roman" w:cs="Times New Roman"/>
          <w:b/>
          <w:sz w:val="32"/>
          <w:szCs w:val="32"/>
        </w:rPr>
      </w:pPr>
    </w:p>
    <w:p w:rsidR="009300EA" w:rsidRPr="009300EA" w:rsidRDefault="00590560" w:rsidP="009300EA">
      <w:pPr>
        <w:spacing w:line="400" w:lineRule="exact"/>
        <w:ind w:firstLineChars="0" w:firstLine="0"/>
        <w:jc w:val="center"/>
        <w:rPr>
          <w:rFonts w:ascii="黑体" w:eastAsia="黑体" w:hAnsi="Times New Roman" w:cs="Times New Roman"/>
          <w:b/>
          <w:sz w:val="32"/>
          <w:szCs w:val="32"/>
        </w:rPr>
      </w:pPr>
      <w:r>
        <w:rPr>
          <w:rFonts w:ascii="黑体" w:eastAsia="黑体" w:hAnsi="Times New Roman" w:cs="Times New Roman" w:hint="eastAsia"/>
          <w:b/>
          <w:sz w:val="32"/>
          <w:szCs w:val="32"/>
        </w:rPr>
        <w:t>2021</w:t>
      </w:r>
      <w:r w:rsidR="00BC4FEF">
        <w:rPr>
          <w:rFonts w:ascii="黑体" w:eastAsia="黑体" w:hAnsi="Times New Roman" w:cs="Times New Roman" w:hint="eastAsia"/>
          <w:b/>
          <w:sz w:val="32"/>
          <w:szCs w:val="32"/>
        </w:rPr>
        <w:t>年</w:t>
      </w:r>
      <w:r w:rsidR="009300EA">
        <w:rPr>
          <w:rFonts w:ascii="黑体" w:eastAsia="黑体" w:hAnsi="Times New Roman" w:cs="Times New Roman" w:hint="eastAsia"/>
          <w:b/>
          <w:sz w:val="32"/>
          <w:szCs w:val="32"/>
        </w:rPr>
        <w:t>宁波大学</w:t>
      </w:r>
      <w:r w:rsidR="007B2F59">
        <w:rPr>
          <w:rFonts w:ascii="黑体" w:eastAsia="黑体" w:hAnsi="Times New Roman" w:cs="Times New Roman" w:hint="eastAsia"/>
          <w:b/>
          <w:sz w:val="32"/>
          <w:szCs w:val="32"/>
        </w:rPr>
        <w:t>专业</w:t>
      </w:r>
      <w:r w:rsidR="009300EA" w:rsidRPr="009300EA">
        <w:rPr>
          <w:rFonts w:ascii="黑体" w:eastAsia="黑体" w:hAnsi="Times New Roman" w:cs="Times New Roman" w:hint="eastAsia"/>
          <w:b/>
          <w:sz w:val="32"/>
          <w:szCs w:val="32"/>
        </w:rPr>
        <w:t>硕士研究生招生考试初试科目</w:t>
      </w:r>
      <w:r w:rsidR="009300EA" w:rsidRPr="009300EA">
        <w:rPr>
          <w:rFonts w:ascii="黑体" w:eastAsia="黑体" w:hAnsi="Times New Roman" w:cs="Times New Roman"/>
          <w:b/>
          <w:sz w:val="32"/>
          <w:szCs w:val="32"/>
        </w:rPr>
        <w:br/>
      </w:r>
      <w:r w:rsidR="009300EA" w:rsidRPr="009300EA">
        <w:rPr>
          <w:rFonts w:ascii="黑体" w:eastAsia="黑体" w:hAnsi="Times New Roman" w:cs="Times New Roman" w:hint="eastAsia"/>
          <w:b/>
          <w:sz w:val="32"/>
          <w:szCs w:val="32"/>
        </w:rPr>
        <w:t>考　试　大　纲</w:t>
      </w:r>
    </w:p>
    <w:p w:rsidR="009300EA" w:rsidRPr="009300EA" w:rsidRDefault="009300EA" w:rsidP="009300EA">
      <w:pPr>
        <w:spacing w:line="400" w:lineRule="exact"/>
        <w:ind w:firstLineChars="0" w:firstLine="0"/>
        <w:jc w:val="center"/>
        <w:rPr>
          <w:rFonts w:ascii="楷体" w:eastAsia="楷体" w:hAnsi="楷体" w:cs="楷体"/>
          <w:szCs w:val="24"/>
        </w:rPr>
      </w:pPr>
      <w:r w:rsidRPr="009300EA">
        <w:rPr>
          <w:rFonts w:ascii="楷体" w:eastAsia="楷体" w:hAnsi="楷体" w:cs="楷体" w:hint="eastAsia"/>
          <w:szCs w:val="24"/>
        </w:rPr>
        <w:t xml:space="preserve"> </w:t>
      </w:r>
    </w:p>
    <w:tbl>
      <w:tblPr>
        <w:tblW w:w="8460" w:type="dxa"/>
        <w:tblInd w:w="108" w:type="dxa"/>
        <w:tblLayout w:type="fixed"/>
        <w:tblLook w:val="0000"/>
      </w:tblPr>
      <w:tblGrid>
        <w:gridCol w:w="1620"/>
        <w:gridCol w:w="6840"/>
      </w:tblGrid>
      <w:tr w:rsidR="009300EA" w:rsidRPr="009300EA" w:rsidTr="00590560">
        <w:trPr>
          <w:trHeight w:val="435"/>
        </w:trPr>
        <w:tc>
          <w:tcPr>
            <w:tcW w:w="1620" w:type="dxa"/>
            <w:shd w:val="clear" w:color="auto" w:fill="auto"/>
            <w:vAlign w:val="bottom"/>
          </w:tcPr>
          <w:p w:rsidR="009300EA" w:rsidRPr="009300EA" w:rsidRDefault="009300EA" w:rsidP="00590560">
            <w:pPr>
              <w:spacing w:afterLines="15"/>
              <w:ind w:leftChars="-50" w:left="-120" w:rightChars="-50" w:right="-120" w:firstLineChars="0" w:firstLine="0"/>
              <w:rPr>
                <w:rFonts w:ascii="宋体" w:hAnsi="宋体" w:cs="Times New Roman"/>
                <w:b/>
                <w:sz w:val="21"/>
                <w:szCs w:val="21"/>
              </w:rPr>
            </w:pPr>
            <w:r w:rsidRPr="009300EA">
              <w:rPr>
                <w:rFonts w:ascii="宋体" w:hAnsi="宋体" w:cs="Times New Roman" w:hint="eastAsia"/>
                <w:b/>
                <w:sz w:val="21"/>
                <w:szCs w:val="21"/>
              </w:rPr>
              <w:t>科目代码、名称:</w:t>
            </w:r>
          </w:p>
        </w:tc>
        <w:tc>
          <w:tcPr>
            <w:tcW w:w="6840" w:type="dxa"/>
            <w:tcBorders>
              <w:bottom w:val="single" w:sz="4" w:space="0" w:color="auto"/>
            </w:tcBorders>
            <w:shd w:val="clear" w:color="auto" w:fill="auto"/>
            <w:vAlign w:val="bottom"/>
          </w:tcPr>
          <w:p w:rsidR="009300EA" w:rsidRPr="009300EA" w:rsidRDefault="00024DF3" w:rsidP="00590560">
            <w:pPr>
              <w:keepNext/>
              <w:keepLines/>
              <w:spacing w:beforeLines="25" w:afterLines="10"/>
              <w:ind w:firstLineChars="0" w:firstLine="0"/>
              <w:jc w:val="center"/>
              <w:outlineLvl w:val="0"/>
              <w:rPr>
                <w:rFonts w:ascii="Times New Roman" w:hAnsi="Times New Roman" w:cs="Times New Roman"/>
                <w:b/>
                <w:bCs/>
                <w:kern w:val="44"/>
                <w:sz w:val="21"/>
                <w:szCs w:val="21"/>
              </w:rPr>
            </w:pPr>
            <w:r>
              <w:rPr>
                <w:rFonts w:ascii="Times New Roman" w:hAnsi="Times New Roman" w:cs="Times New Roman" w:hint="eastAsia"/>
                <w:b/>
                <w:bCs/>
                <w:color w:val="000000"/>
                <w:kern w:val="44"/>
                <w:sz w:val="21"/>
                <w:szCs w:val="21"/>
              </w:rPr>
              <w:t>431</w:t>
            </w:r>
            <w:r>
              <w:rPr>
                <w:rFonts w:ascii="Times New Roman" w:hAnsi="Times New Roman" w:cs="Times New Roman" w:hint="eastAsia"/>
                <w:b/>
                <w:bCs/>
                <w:color w:val="000000"/>
                <w:kern w:val="44"/>
                <w:sz w:val="21"/>
                <w:szCs w:val="21"/>
              </w:rPr>
              <w:t>金融</w:t>
            </w:r>
            <w:proofErr w:type="gramStart"/>
            <w:r>
              <w:rPr>
                <w:rFonts w:ascii="Times New Roman" w:hAnsi="Times New Roman" w:cs="Times New Roman" w:hint="eastAsia"/>
                <w:b/>
                <w:bCs/>
                <w:color w:val="000000"/>
                <w:kern w:val="44"/>
                <w:sz w:val="21"/>
                <w:szCs w:val="21"/>
              </w:rPr>
              <w:t>学综合</w:t>
            </w:r>
            <w:proofErr w:type="gramEnd"/>
          </w:p>
        </w:tc>
      </w:tr>
    </w:tbl>
    <w:p w:rsidR="00B306B6" w:rsidRDefault="00B306B6" w:rsidP="00B306B6">
      <w:pPr>
        <w:numPr>
          <w:ilvl w:val="0"/>
          <w:numId w:val="1"/>
        </w:numPr>
        <w:spacing w:beforeLines="100" w:afterLines="10" w:line="360" w:lineRule="auto"/>
        <w:ind w:firstLineChars="0" w:firstLine="0"/>
        <w:rPr>
          <w:rFonts w:ascii="Times New Roman" w:hAnsi="Times New Roman" w:cs="Times New Roman"/>
          <w:b/>
          <w:sz w:val="21"/>
          <w:szCs w:val="21"/>
        </w:rPr>
      </w:pPr>
      <w:bookmarkStart w:id="0" w:name="_GoBack"/>
      <w:bookmarkEnd w:id="0"/>
      <w:r>
        <w:rPr>
          <w:rFonts w:ascii="Times New Roman" w:hAnsi="Times New Roman" w:cs="Times New Roman" w:hint="eastAsia"/>
          <w:b/>
          <w:szCs w:val="24"/>
        </w:rPr>
        <w:t>考试形式与试卷结构</w:t>
      </w:r>
      <w:r>
        <w:rPr>
          <w:rFonts w:ascii="Times New Roman" w:hAnsi="Times New Roman" w:cs="Times New Roman" w:hint="eastAsia"/>
          <w:b/>
          <w:szCs w:val="24"/>
        </w:rPr>
        <w:t xml:space="preserve"> </w:t>
      </w:r>
      <w:r>
        <w:rPr>
          <w:rFonts w:ascii="Times New Roman" w:hAnsi="Times New Roman" w:cs="Times New Roman" w:hint="eastAsia"/>
          <w:b/>
          <w:sz w:val="21"/>
          <w:szCs w:val="21"/>
        </w:rPr>
        <w:t xml:space="preserve">   </w:t>
      </w:r>
    </w:p>
    <w:p w:rsidR="00B306B6" w:rsidRDefault="00B306B6" w:rsidP="00B306B6">
      <w:pPr>
        <w:numPr>
          <w:ilvl w:val="0"/>
          <w:numId w:val="2"/>
        </w:numPr>
        <w:spacing w:beforeLines="10" w:afterLines="10" w:line="360" w:lineRule="auto"/>
        <w:ind w:firstLineChars="0" w:firstLine="422"/>
        <w:rPr>
          <w:rFonts w:ascii="Times New Roman" w:hAnsi="Times New Roman" w:cs="Times New Roman"/>
          <w:b/>
          <w:sz w:val="21"/>
          <w:szCs w:val="21"/>
        </w:rPr>
      </w:pPr>
      <w:r>
        <w:rPr>
          <w:rFonts w:ascii="Times New Roman" w:hAnsi="Times New Roman" w:cs="Times New Roman" w:hint="eastAsia"/>
          <w:b/>
          <w:sz w:val="21"/>
          <w:szCs w:val="21"/>
        </w:rPr>
        <w:t>试卷满分值及考试时间</w:t>
      </w:r>
    </w:p>
    <w:p w:rsidR="00B306B6" w:rsidRDefault="00B306B6" w:rsidP="00B306B6">
      <w:pPr>
        <w:spacing w:beforeLines="10" w:afterLines="10" w:line="360" w:lineRule="auto"/>
        <w:ind w:firstLineChars="0" w:firstLine="0"/>
        <w:rPr>
          <w:rFonts w:ascii="新宋体" w:eastAsia="新宋体" w:hAnsi="新宋体" w:cs="Times New Roman"/>
          <w:sz w:val="21"/>
          <w:szCs w:val="21"/>
        </w:rPr>
      </w:pPr>
      <w:r>
        <w:rPr>
          <w:rFonts w:ascii="新宋体" w:eastAsia="新宋体" w:hAnsi="新宋体" w:cs="Times New Roman" w:hint="eastAsia"/>
          <w:b/>
          <w:bCs/>
          <w:color w:val="FF0000"/>
          <w:sz w:val="21"/>
          <w:szCs w:val="21"/>
        </w:rPr>
        <w:t xml:space="preserve">   </w:t>
      </w:r>
      <w:r>
        <w:rPr>
          <w:rFonts w:ascii="楷体" w:eastAsia="楷体" w:hAnsi="楷体" w:cs="楷体" w:hint="eastAsia"/>
          <w:b/>
          <w:bCs/>
          <w:color w:val="FF0000"/>
          <w:sz w:val="21"/>
          <w:szCs w:val="21"/>
        </w:rPr>
        <w:t xml:space="preserve"> </w:t>
      </w:r>
      <w:r>
        <w:rPr>
          <w:rFonts w:ascii="楷体" w:eastAsia="楷体" w:hAnsi="楷体" w:cs="楷体" w:hint="eastAsia"/>
          <w:b/>
          <w:bCs/>
          <w:color w:val="FF0000"/>
          <w:szCs w:val="24"/>
        </w:rPr>
        <w:t xml:space="preserve"> </w:t>
      </w:r>
      <w:r>
        <w:rPr>
          <w:rFonts w:ascii="新宋体" w:eastAsia="新宋体" w:hAnsi="新宋体" w:cs="Times New Roman" w:hint="eastAsia"/>
          <w:sz w:val="21"/>
          <w:szCs w:val="21"/>
        </w:rPr>
        <w:t>本试卷满分为150分，考试时间为180分钟。</w:t>
      </w:r>
    </w:p>
    <w:p w:rsidR="00B306B6" w:rsidRDefault="00B306B6" w:rsidP="00B306B6">
      <w:pPr>
        <w:spacing w:beforeLines="10" w:afterLines="10" w:line="360" w:lineRule="auto"/>
        <w:ind w:firstLineChars="0" w:firstLine="0"/>
        <w:rPr>
          <w:rFonts w:ascii="新宋体" w:eastAsia="新宋体" w:hAnsi="新宋体" w:cs="Times New Roman"/>
          <w:b/>
          <w:sz w:val="21"/>
          <w:szCs w:val="21"/>
        </w:rPr>
      </w:pPr>
      <w:r>
        <w:rPr>
          <w:rFonts w:ascii="新宋体" w:eastAsia="新宋体" w:hAnsi="新宋体" w:cs="Times New Roman" w:hint="eastAsia"/>
          <w:b/>
          <w:sz w:val="21"/>
          <w:szCs w:val="21"/>
        </w:rPr>
        <w:t xml:space="preserve">    （二）答题方式</w:t>
      </w:r>
    </w:p>
    <w:p w:rsidR="00B306B6" w:rsidRDefault="00B306B6" w:rsidP="00B306B6">
      <w:pPr>
        <w:spacing w:beforeLines="10" w:afterLines="10" w:line="360" w:lineRule="auto"/>
        <w:ind w:firstLine="420"/>
        <w:rPr>
          <w:rFonts w:ascii="新宋体" w:eastAsia="新宋体" w:hAnsi="新宋体" w:cs="Times New Roman"/>
          <w:sz w:val="21"/>
          <w:szCs w:val="21"/>
        </w:rPr>
      </w:pPr>
      <w:r>
        <w:rPr>
          <w:rFonts w:ascii="新宋体" w:eastAsia="新宋体" w:hAnsi="新宋体" w:cs="Times New Roman" w:hint="eastAsia"/>
          <w:sz w:val="21"/>
          <w:szCs w:val="21"/>
        </w:rPr>
        <w:t xml:space="preserve"> 答题方式为闭卷、笔试。试卷由试题和答题纸组成；答案必须写在答题纸（由考点提供）相应的位置上。</w:t>
      </w:r>
    </w:p>
    <w:p w:rsidR="00B306B6" w:rsidRDefault="00B306B6" w:rsidP="00B306B6">
      <w:pPr>
        <w:spacing w:beforeLines="10" w:afterLines="10" w:line="360" w:lineRule="auto"/>
        <w:ind w:firstLine="422"/>
        <w:rPr>
          <w:rFonts w:ascii="Times New Roman" w:hAnsi="Times New Roman" w:cs="Times New Roman"/>
          <w:b/>
          <w:sz w:val="21"/>
          <w:szCs w:val="21"/>
        </w:rPr>
      </w:pPr>
      <w:r>
        <w:rPr>
          <w:rFonts w:ascii="新宋体" w:eastAsia="新宋体" w:hAnsi="新宋体" w:cs="Times New Roman" w:hint="eastAsia"/>
          <w:b/>
          <w:sz w:val="21"/>
          <w:szCs w:val="21"/>
        </w:rPr>
        <w:t>（三）试卷内容</w:t>
      </w:r>
    </w:p>
    <w:p w:rsidR="00B306B6" w:rsidRDefault="00B306B6" w:rsidP="00B306B6">
      <w:pPr>
        <w:adjustRightInd w:val="0"/>
        <w:snapToGrid w:val="0"/>
        <w:spacing w:line="360" w:lineRule="auto"/>
        <w:ind w:firstLine="420"/>
        <w:rPr>
          <w:rFonts w:ascii="宋体" w:hAnsi="宋体" w:cs="Arial"/>
          <w:color w:val="000000"/>
          <w:sz w:val="21"/>
          <w:szCs w:val="21"/>
        </w:rPr>
      </w:pPr>
      <w:r>
        <w:rPr>
          <w:rFonts w:ascii="宋体" w:hAnsi="宋体" w:cs="Arial" w:hint="eastAsia"/>
          <w:color w:val="000000"/>
          <w:sz w:val="21"/>
          <w:szCs w:val="21"/>
        </w:rPr>
        <w:t>考试内容注重实用性，兼顾先进性，从知识角度上包括了货币与利率、金融机构、商业银行及经营管理、中央银行及货币政策、国际金融、投资学、公司财务等内容。考试内容分布于参考书目当中，内容要点可查看本大纲考查范围或考试内容概要部分。</w:t>
      </w:r>
    </w:p>
    <w:p w:rsidR="00B306B6" w:rsidRDefault="00B306B6" w:rsidP="00B306B6">
      <w:pPr>
        <w:spacing w:beforeLines="10" w:afterLines="10" w:line="360" w:lineRule="auto"/>
        <w:ind w:firstLine="422"/>
        <w:rPr>
          <w:rFonts w:ascii="新宋体" w:eastAsia="新宋体" w:hAnsi="新宋体" w:cs="Times New Roman"/>
          <w:b/>
          <w:sz w:val="21"/>
          <w:szCs w:val="21"/>
        </w:rPr>
      </w:pPr>
      <w:r>
        <w:rPr>
          <w:rFonts w:ascii="新宋体" w:eastAsia="新宋体" w:hAnsi="新宋体" w:cs="Times New Roman" w:hint="eastAsia"/>
          <w:b/>
          <w:sz w:val="21"/>
          <w:szCs w:val="21"/>
        </w:rPr>
        <w:t>（四）试卷题型分布</w:t>
      </w:r>
    </w:p>
    <w:p w:rsidR="00B306B6" w:rsidRDefault="00B306B6" w:rsidP="00B306B6">
      <w:pPr>
        <w:spacing w:line="360" w:lineRule="auto"/>
        <w:ind w:firstLine="420"/>
        <w:rPr>
          <w:rFonts w:ascii="宋体" w:hAnsi="宋体" w:cs="Times New Roman"/>
          <w:color w:val="000000"/>
          <w:sz w:val="21"/>
          <w:szCs w:val="21"/>
        </w:rPr>
      </w:pPr>
      <w:r>
        <w:rPr>
          <w:rFonts w:ascii="宋体" w:hAnsi="宋体" w:cs="Times New Roman" w:hint="eastAsia"/>
          <w:color w:val="000000"/>
          <w:sz w:val="21"/>
          <w:szCs w:val="21"/>
        </w:rPr>
        <w:t>1.名词解释</w:t>
      </w:r>
    </w:p>
    <w:p w:rsidR="00B306B6" w:rsidRDefault="00B306B6" w:rsidP="00B306B6">
      <w:pPr>
        <w:spacing w:line="360" w:lineRule="auto"/>
        <w:ind w:firstLine="420"/>
        <w:rPr>
          <w:rFonts w:ascii="宋体" w:hAnsi="宋体" w:cs="Times New Roman"/>
          <w:color w:val="000000"/>
          <w:sz w:val="21"/>
          <w:szCs w:val="21"/>
        </w:rPr>
      </w:pPr>
      <w:r>
        <w:rPr>
          <w:rFonts w:ascii="宋体" w:hAnsi="宋体" w:cs="Times New Roman" w:hint="eastAsia"/>
          <w:color w:val="000000"/>
          <w:sz w:val="21"/>
          <w:szCs w:val="21"/>
        </w:rPr>
        <w:t>2.简答题</w:t>
      </w:r>
    </w:p>
    <w:p w:rsidR="00B306B6" w:rsidRDefault="00B306B6" w:rsidP="00B306B6">
      <w:pPr>
        <w:spacing w:line="360" w:lineRule="auto"/>
        <w:ind w:firstLine="420"/>
        <w:rPr>
          <w:rFonts w:ascii="宋体" w:hAnsi="宋体" w:cs="Times New Roman"/>
          <w:color w:val="000000"/>
          <w:sz w:val="21"/>
          <w:szCs w:val="21"/>
        </w:rPr>
      </w:pPr>
      <w:r>
        <w:rPr>
          <w:rFonts w:ascii="宋体" w:hAnsi="宋体" w:cs="Times New Roman" w:hint="eastAsia"/>
          <w:color w:val="000000"/>
          <w:sz w:val="21"/>
          <w:szCs w:val="21"/>
        </w:rPr>
        <w:t>3.论述题</w:t>
      </w:r>
    </w:p>
    <w:p w:rsidR="00B306B6" w:rsidRDefault="00B306B6" w:rsidP="00B306B6">
      <w:pPr>
        <w:spacing w:line="360" w:lineRule="auto"/>
        <w:ind w:firstLine="420"/>
        <w:rPr>
          <w:rFonts w:ascii="宋体" w:hAnsi="宋体" w:cs="Times New Roman"/>
          <w:b/>
          <w:bCs/>
          <w:color w:val="000000"/>
          <w:sz w:val="21"/>
          <w:szCs w:val="21"/>
        </w:rPr>
      </w:pPr>
      <w:r>
        <w:rPr>
          <w:rFonts w:ascii="宋体" w:hAnsi="宋体" w:cs="Times New Roman" w:hint="eastAsia"/>
          <w:color w:val="000000"/>
          <w:sz w:val="21"/>
          <w:szCs w:val="21"/>
        </w:rPr>
        <w:t>4.计算题</w:t>
      </w:r>
    </w:p>
    <w:p w:rsidR="00B306B6" w:rsidRDefault="00B306B6" w:rsidP="00B306B6">
      <w:pPr>
        <w:spacing w:line="360" w:lineRule="auto"/>
        <w:ind w:firstLineChars="0" w:firstLine="0"/>
        <w:rPr>
          <w:rFonts w:ascii="Times New Roman" w:hAnsi="Times New Roman" w:cs="Times New Roman"/>
          <w:b/>
          <w:szCs w:val="24"/>
        </w:rPr>
      </w:pPr>
      <w:r>
        <w:rPr>
          <w:rFonts w:ascii="Times New Roman" w:hAnsi="Times New Roman" w:cs="Times New Roman" w:hint="eastAsia"/>
          <w:b/>
          <w:szCs w:val="24"/>
        </w:rPr>
        <w:t>二、考试性质与考查目的</w:t>
      </w:r>
    </w:p>
    <w:p w:rsidR="00B306B6" w:rsidRDefault="00B306B6" w:rsidP="00B306B6">
      <w:pPr>
        <w:spacing w:line="360" w:lineRule="auto"/>
        <w:ind w:firstLine="420"/>
        <w:rPr>
          <w:rFonts w:ascii="宋体" w:hAnsi="宋体" w:cs="Arial"/>
          <w:color w:val="000000"/>
          <w:sz w:val="21"/>
          <w:szCs w:val="21"/>
        </w:rPr>
      </w:pPr>
      <w:r>
        <w:rPr>
          <w:rFonts w:ascii="宋体" w:hAnsi="宋体" w:cs="Arial" w:hint="eastAsia"/>
          <w:color w:val="000000"/>
          <w:sz w:val="21"/>
          <w:szCs w:val="21"/>
        </w:rPr>
        <w:t>《金融学综合》是2019年金融硕士专业学位研究生入学统一考试的科目之一。课程考试的目的在于科学、准确、规范地测评</w:t>
      </w:r>
      <w:r>
        <w:rPr>
          <w:rFonts w:ascii="宋体" w:hAnsi="宋体" w:cs="Arial"/>
          <w:color w:val="000000"/>
          <w:sz w:val="21"/>
          <w:szCs w:val="21"/>
        </w:rPr>
        <w:t>考生对</w:t>
      </w:r>
      <w:r>
        <w:rPr>
          <w:rFonts w:ascii="宋体" w:hAnsi="宋体" w:cs="Arial" w:hint="eastAsia"/>
          <w:color w:val="000000"/>
          <w:sz w:val="21"/>
          <w:szCs w:val="21"/>
        </w:rPr>
        <w:t>于货币金融学、公司财务等宏微观金融学相关概念及理论的掌握情况和综合应用能力，选拔具有发展潜力的优秀人才入学，为国家建设培养高层次、应用型、复合型的金融专业人才。</w:t>
      </w:r>
    </w:p>
    <w:p w:rsidR="00B306B6" w:rsidRDefault="00B306B6" w:rsidP="00B306B6">
      <w:pPr>
        <w:numPr>
          <w:ilvl w:val="0"/>
          <w:numId w:val="3"/>
        </w:numPr>
        <w:spacing w:beforeLines="10" w:afterLines="10" w:line="360" w:lineRule="auto"/>
        <w:ind w:firstLineChars="0" w:firstLine="0"/>
        <w:rPr>
          <w:rFonts w:ascii="Times New Roman" w:hAnsi="Times New Roman" w:cs="Times New Roman"/>
          <w:b/>
          <w:szCs w:val="24"/>
        </w:rPr>
      </w:pPr>
      <w:r>
        <w:rPr>
          <w:rFonts w:ascii="Times New Roman" w:hAnsi="Times New Roman" w:cs="Times New Roman" w:hint="eastAsia"/>
          <w:b/>
          <w:szCs w:val="24"/>
        </w:rPr>
        <w:t>考查范围或考试内容概要</w:t>
      </w:r>
    </w:p>
    <w:p w:rsidR="00B306B6" w:rsidRDefault="00B306B6" w:rsidP="00B306B6">
      <w:pPr>
        <w:adjustRightInd w:val="0"/>
        <w:snapToGrid w:val="0"/>
        <w:spacing w:line="360" w:lineRule="auto"/>
        <w:ind w:firstLineChars="0" w:firstLine="420"/>
        <w:rPr>
          <w:rFonts w:ascii="宋体" w:hAnsi="宋体" w:cs="Arial"/>
          <w:color w:val="000000"/>
          <w:sz w:val="21"/>
          <w:szCs w:val="21"/>
        </w:rPr>
      </w:pPr>
      <w:r>
        <w:rPr>
          <w:rFonts w:ascii="宋体" w:hAnsi="宋体" w:cs="Arial"/>
          <w:color w:val="000000"/>
          <w:sz w:val="21"/>
          <w:szCs w:val="21"/>
        </w:rPr>
        <w:t>第一部分</w:t>
      </w:r>
      <w:r>
        <w:rPr>
          <w:rFonts w:ascii="宋体" w:hAnsi="宋体" w:cs="Arial" w:hint="eastAsia"/>
          <w:color w:val="000000"/>
          <w:sz w:val="21"/>
          <w:szCs w:val="21"/>
        </w:rPr>
        <w:t xml:space="preserve"> 宏观金融学模块</w:t>
      </w:r>
    </w:p>
    <w:p w:rsidR="00B306B6" w:rsidRDefault="00B306B6" w:rsidP="00B306B6">
      <w:pPr>
        <w:adjustRightInd w:val="0"/>
        <w:snapToGrid w:val="0"/>
        <w:spacing w:line="360" w:lineRule="auto"/>
        <w:ind w:firstLineChars="0" w:firstLine="420"/>
        <w:rPr>
          <w:rFonts w:ascii="宋体" w:hAnsi="宋体" w:cs="Arial"/>
          <w:color w:val="000000"/>
          <w:sz w:val="21"/>
          <w:szCs w:val="21"/>
        </w:rPr>
      </w:pPr>
      <w:r>
        <w:rPr>
          <w:rFonts w:ascii="宋体" w:hAnsi="宋体" w:cs="Arial" w:hint="eastAsia"/>
          <w:color w:val="000000"/>
          <w:sz w:val="21"/>
          <w:szCs w:val="21"/>
        </w:rPr>
        <w:t>1.货币与金融体系</w:t>
      </w:r>
    </w:p>
    <w:p w:rsidR="00B306B6" w:rsidRDefault="00B306B6" w:rsidP="00B306B6">
      <w:pPr>
        <w:adjustRightInd w:val="0"/>
        <w:snapToGrid w:val="0"/>
        <w:spacing w:line="360" w:lineRule="auto"/>
        <w:ind w:firstLineChars="0" w:firstLine="420"/>
        <w:rPr>
          <w:rFonts w:ascii="宋体" w:hAnsi="宋体" w:cs="Arial"/>
          <w:color w:val="000000"/>
          <w:sz w:val="21"/>
          <w:szCs w:val="21"/>
        </w:rPr>
      </w:pPr>
      <w:r>
        <w:rPr>
          <w:rFonts w:ascii="宋体" w:hAnsi="宋体" w:cs="Arial" w:hint="eastAsia"/>
          <w:color w:val="000000"/>
          <w:sz w:val="21"/>
          <w:szCs w:val="21"/>
        </w:rPr>
        <w:t>货币的含义与职能、货币的计量、金融市场功能与工具、金融中介机构的功能与类型、货币的层次、金融体系的监管、国际货币体系</w:t>
      </w:r>
    </w:p>
    <w:p w:rsidR="00B306B6" w:rsidRDefault="00B306B6" w:rsidP="00B306B6">
      <w:pPr>
        <w:adjustRightInd w:val="0"/>
        <w:snapToGrid w:val="0"/>
        <w:spacing w:line="360" w:lineRule="auto"/>
        <w:ind w:firstLineChars="0" w:firstLine="420"/>
        <w:rPr>
          <w:rFonts w:ascii="宋体" w:hAnsi="宋体" w:cs="Arial"/>
          <w:color w:val="000000"/>
          <w:sz w:val="21"/>
          <w:szCs w:val="21"/>
        </w:rPr>
      </w:pPr>
      <w:r>
        <w:rPr>
          <w:rFonts w:ascii="宋体" w:hAnsi="宋体" w:cs="Arial" w:hint="eastAsia"/>
          <w:color w:val="000000"/>
          <w:sz w:val="21"/>
          <w:szCs w:val="21"/>
        </w:rPr>
        <w:lastRenderedPageBreak/>
        <w:t>2.利率与金融市场</w:t>
      </w:r>
    </w:p>
    <w:p w:rsidR="00B306B6" w:rsidRDefault="00B306B6" w:rsidP="00B306B6">
      <w:pPr>
        <w:adjustRightInd w:val="0"/>
        <w:snapToGrid w:val="0"/>
        <w:spacing w:line="360" w:lineRule="auto"/>
        <w:ind w:firstLineChars="0" w:firstLine="420"/>
        <w:rPr>
          <w:rFonts w:ascii="宋体" w:hAnsi="宋体" w:cs="Arial"/>
          <w:color w:val="000000"/>
          <w:sz w:val="21"/>
          <w:szCs w:val="21"/>
        </w:rPr>
      </w:pPr>
      <w:r>
        <w:rPr>
          <w:rFonts w:ascii="宋体" w:hAnsi="宋体" w:cs="Arial" w:hint="eastAsia"/>
          <w:color w:val="000000"/>
          <w:sz w:val="21"/>
          <w:szCs w:val="21"/>
        </w:rPr>
        <w:t>利率与利率风险、金融市场及其要素、货币市场、资本市场、衍生工具市场、债券市场供求分析、流动性偏好理论、利率的决定因素、利率的风险结构与期限结构、收益率曲线</w:t>
      </w:r>
    </w:p>
    <w:p w:rsidR="00B306B6" w:rsidRDefault="00B306B6" w:rsidP="00B306B6">
      <w:pPr>
        <w:adjustRightInd w:val="0"/>
        <w:snapToGrid w:val="0"/>
        <w:spacing w:line="360" w:lineRule="auto"/>
        <w:ind w:firstLineChars="0" w:firstLine="420"/>
        <w:rPr>
          <w:rFonts w:ascii="宋体" w:hAnsi="宋体" w:cs="Arial"/>
          <w:color w:val="000000"/>
          <w:sz w:val="21"/>
          <w:szCs w:val="21"/>
        </w:rPr>
      </w:pPr>
      <w:r>
        <w:rPr>
          <w:rFonts w:ascii="宋体" w:hAnsi="宋体" w:cs="Arial" w:hint="eastAsia"/>
          <w:color w:val="000000"/>
          <w:sz w:val="21"/>
          <w:szCs w:val="21"/>
        </w:rPr>
        <w:t>3.金融机构</w:t>
      </w:r>
    </w:p>
    <w:p w:rsidR="00B306B6" w:rsidRDefault="00B306B6" w:rsidP="00B306B6">
      <w:pPr>
        <w:adjustRightInd w:val="0"/>
        <w:snapToGrid w:val="0"/>
        <w:spacing w:line="360" w:lineRule="auto"/>
        <w:ind w:firstLineChars="0" w:firstLine="420"/>
        <w:rPr>
          <w:rFonts w:ascii="宋体" w:hAnsi="宋体" w:cs="Arial"/>
          <w:color w:val="000000"/>
          <w:sz w:val="21"/>
          <w:szCs w:val="21"/>
        </w:rPr>
      </w:pPr>
      <w:r>
        <w:rPr>
          <w:rFonts w:ascii="宋体" w:hAnsi="宋体" w:cs="Arial" w:hint="eastAsia"/>
          <w:color w:val="000000"/>
          <w:sz w:val="21"/>
          <w:szCs w:val="21"/>
        </w:rPr>
        <w:t>金融机构体系、商业银行资产负债业务、商业银行中间业务与表外业务、商业银行的风险特征、商业银行的存款创造、信息不对称问题如何影响金融机构、金融脆弱性与金融监管、金融危机的影响因素与表现、金融创新与“影子银行体系”的发展</w:t>
      </w:r>
    </w:p>
    <w:p w:rsidR="00B306B6" w:rsidRDefault="00B306B6" w:rsidP="00B306B6">
      <w:pPr>
        <w:adjustRightInd w:val="0"/>
        <w:snapToGrid w:val="0"/>
        <w:spacing w:line="360" w:lineRule="auto"/>
        <w:ind w:firstLineChars="0" w:firstLine="420"/>
        <w:rPr>
          <w:rFonts w:ascii="宋体" w:hAnsi="宋体" w:cs="Arial"/>
          <w:color w:val="000000"/>
          <w:sz w:val="21"/>
          <w:szCs w:val="21"/>
        </w:rPr>
      </w:pPr>
      <w:r>
        <w:rPr>
          <w:rFonts w:ascii="宋体" w:hAnsi="宋体" w:cs="Arial" w:hint="eastAsia"/>
          <w:color w:val="000000"/>
          <w:sz w:val="21"/>
          <w:szCs w:val="21"/>
        </w:rPr>
        <w:t>4.中央银行与货币政策</w:t>
      </w:r>
    </w:p>
    <w:p w:rsidR="00B306B6" w:rsidRDefault="00B306B6" w:rsidP="00B306B6">
      <w:pPr>
        <w:adjustRightInd w:val="0"/>
        <w:snapToGrid w:val="0"/>
        <w:spacing w:line="360" w:lineRule="auto"/>
        <w:ind w:firstLineChars="0" w:firstLine="420"/>
        <w:rPr>
          <w:rFonts w:ascii="宋体" w:hAnsi="宋体" w:cs="Arial"/>
          <w:color w:val="000000"/>
          <w:sz w:val="21"/>
          <w:szCs w:val="21"/>
        </w:rPr>
      </w:pPr>
      <w:r>
        <w:rPr>
          <w:rFonts w:ascii="宋体" w:hAnsi="宋体" w:cs="Arial" w:hint="eastAsia"/>
          <w:color w:val="000000"/>
          <w:sz w:val="21"/>
          <w:szCs w:val="21"/>
        </w:rPr>
        <w:t>中央银行的职能与独立性、货币政策的目标与工具、货币政策的传导机制、货币供给理论、货币需求理论、通货膨胀与通货紧缩、货币政策与财政政策的有效性比较</w:t>
      </w:r>
    </w:p>
    <w:p w:rsidR="00B306B6" w:rsidRDefault="00B306B6" w:rsidP="00B306B6">
      <w:pPr>
        <w:adjustRightInd w:val="0"/>
        <w:snapToGrid w:val="0"/>
        <w:spacing w:line="360" w:lineRule="auto"/>
        <w:ind w:firstLineChars="0" w:firstLine="420"/>
        <w:rPr>
          <w:rFonts w:ascii="宋体" w:hAnsi="宋体" w:cs="Arial"/>
          <w:color w:val="000000"/>
          <w:sz w:val="21"/>
          <w:szCs w:val="21"/>
        </w:rPr>
      </w:pPr>
      <w:r>
        <w:rPr>
          <w:rFonts w:ascii="宋体" w:hAnsi="宋体" w:cs="Arial" w:hint="eastAsia"/>
          <w:color w:val="000000"/>
          <w:sz w:val="21"/>
          <w:szCs w:val="21"/>
        </w:rPr>
        <w:t>5.国际金融体系与外汇市场</w:t>
      </w:r>
    </w:p>
    <w:p w:rsidR="00B306B6" w:rsidRDefault="00B306B6" w:rsidP="00B306B6">
      <w:pPr>
        <w:adjustRightInd w:val="0"/>
        <w:snapToGrid w:val="0"/>
        <w:spacing w:line="360" w:lineRule="auto"/>
        <w:ind w:firstLineChars="0" w:firstLine="420"/>
        <w:rPr>
          <w:rFonts w:ascii="宋体" w:hAnsi="宋体" w:cs="Arial"/>
          <w:color w:val="000000"/>
          <w:sz w:val="21"/>
          <w:szCs w:val="21"/>
        </w:rPr>
      </w:pPr>
      <w:r>
        <w:rPr>
          <w:rFonts w:ascii="宋体" w:hAnsi="宋体" w:cs="Arial" w:hint="eastAsia"/>
          <w:color w:val="000000"/>
          <w:sz w:val="21"/>
          <w:szCs w:val="21"/>
        </w:rPr>
        <w:t>外汇与汇率、汇率决定理论、汇率制度、国际收支、国际储备、国际资本流动</w:t>
      </w:r>
    </w:p>
    <w:p w:rsidR="00B306B6" w:rsidRDefault="00B306B6" w:rsidP="00B306B6">
      <w:pPr>
        <w:numPr>
          <w:ilvl w:val="0"/>
          <w:numId w:val="4"/>
        </w:numPr>
        <w:adjustRightInd w:val="0"/>
        <w:snapToGrid w:val="0"/>
        <w:spacing w:line="360" w:lineRule="auto"/>
        <w:ind w:firstLineChars="0" w:firstLine="420"/>
        <w:rPr>
          <w:rFonts w:ascii="宋体" w:hAnsi="宋体" w:cs="Arial"/>
          <w:color w:val="000000"/>
          <w:sz w:val="21"/>
          <w:szCs w:val="21"/>
        </w:rPr>
      </w:pPr>
      <w:r>
        <w:rPr>
          <w:rFonts w:ascii="宋体" w:hAnsi="宋体" w:cs="Arial" w:hint="eastAsia"/>
          <w:color w:val="000000"/>
          <w:sz w:val="21"/>
          <w:szCs w:val="21"/>
        </w:rPr>
        <w:t>微观金融学模块</w:t>
      </w:r>
    </w:p>
    <w:p w:rsidR="00B306B6" w:rsidRDefault="00B306B6" w:rsidP="00B306B6">
      <w:pPr>
        <w:adjustRightInd w:val="0"/>
        <w:snapToGrid w:val="0"/>
        <w:spacing w:line="360" w:lineRule="auto"/>
        <w:ind w:left="420" w:firstLineChars="0" w:firstLine="0"/>
        <w:rPr>
          <w:rFonts w:ascii="宋体" w:hAnsi="宋体" w:cs="Arial"/>
          <w:color w:val="000000"/>
          <w:sz w:val="21"/>
          <w:szCs w:val="21"/>
        </w:rPr>
      </w:pPr>
      <w:r>
        <w:rPr>
          <w:rFonts w:ascii="宋体" w:hAnsi="宋体" w:cs="Arial" w:hint="eastAsia"/>
          <w:color w:val="000000"/>
          <w:sz w:val="21"/>
          <w:szCs w:val="21"/>
        </w:rPr>
        <w:t>1.公司金融基本概念与基本理论</w:t>
      </w:r>
    </w:p>
    <w:p w:rsidR="00B306B6" w:rsidRDefault="00B306B6" w:rsidP="00B306B6">
      <w:pPr>
        <w:adjustRightInd w:val="0"/>
        <w:snapToGrid w:val="0"/>
        <w:spacing w:line="360" w:lineRule="auto"/>
        <w:ind w:firstLineChars="0" w:firstLine="420"/>
        <w:rPr>
          <w:rFonts w:ascii="宋体" w:hAnsi="宋体" w:cs="Arial"/>
          <w:color w:val="000000"/>
          <w:sz w:val="21"/>
          <w:szCs w:val="21"/>
        </w:rPr>
      </w:pPr>
      <w:r>
        <w:rPr>
          <w:rFonts w:ascii="宋体" w:hAnsi="宋体" w:cs="Arial" w:hint="eastAsia"/>
          <w:color w:val="000000"/>
          <w:sz w:val="21"/>
          <w:szCs w:val="21"/>
        </w:rPr>
        <w:t xml:space="preserve">公司金融的基本概念、财务金融的原则与目标、货币的时间价值、风险与收益、资本资产定价模型、贝塔（β）的估计、现代公司金融基本理论 </w:t>
      </w:r>
    </w:p>
    <w:p w:rsidR="00B306B6" w:rsidRDefault="00B306B6" w:rsidP="00B306B6">
      <w:pPr>
        <w:adjustRightInd w:val="0"/>
        <w:snapToGrid w:val="0"/>
        <w:spacing w:line="360" w:lineRule="auto"/>
        <w:ind w:left="420" w:firstLineChars="0" w:firstLine="0"/>
        <w:rPr>
          <w:rFonts w:ascii="宋体" w:hAnsi="宋体" w:cs="Arial"/>
          <w:color w:val="000000"/>
          <w:sz w:val="21"/>
          <w:szCs w:val="21"/>
        </w:rPr>
      </w:pPr>
      <w:r>
        <w:rPr>
          <w:rFonts w:ascii="宋体" w:hAnsi="宋体" w:cs="Arial" w:hint="eastAsia"/>
          <w:color w:val="000000"/>
          <w:sz w:val="21"/>
          <w:szCs w:val="21"/>
        </w:rPr>
        <w:t>2.财务分析与规划</w:t>
      </w:r>
    </w:p>
    <w:p w:rsidR="00B306B6" w:rsidRDefault="00B306B6" w:rsidP="00B306B6">
      <w:pPr>
        <w:adjustRightInd w:val="0"/>
        <w:snapToGrid w:val="0"/>
        <w:spacing w:line="360" w:lineRule="auto"/>
        <w:ind w:firstLineChars="0" w:firstLine="420"/>
        <w:rPr>
          <w:rFonts w:ascii="宋体" w:hAnsi="宋体" w:cs="Arial"/>
          <w:color w:val="000000"/>
          <w:sz w:val="21"/>
          <w:szCs w:val="21"/>
        </w:rPr>
      </w:pPr>
      <w:r>
        <w:rPr>
          <w:rFonts w:ascii="宋体" w:hAnsi="宋体" w:cs="Arial" w:hint="eastAsia"/>
          <w:color w:val="000000"/>
          <w:sz w:val="21"/>
          <w:szCs w:val="21"/>
        </w:rPr>
        <w:t>主要财务报表、财务报表分析、公司绩效评价</w:t>
      </w:r>
    </w:p>
    <w:p w:rsidR="00B306B6" w:rsidRDefault="00B306B6" w:rsidP="00B306B6">
      <w:pPr>
        <w:adjustRightInd w:val="0"/>
        <w:snapToGrid w:val="0"/>
        <w:spacing w:line="360" w:lineRule="auto"/>
        <w:ind w:firstLineChars="0" w:firstLine="420"/>
        <w:rPr>
          <w:rFonts w:ascii="宋体" w:hAnsi="宋体" w:cs="Arial"/>
          <w:color w:val="000000"/>
          <w:sz w:val="21"/>
          <w:szCs w:val="21"/>
        </w:rPr>
      </w:pPr>
      <w:r>
        <w:rPr>
          <w:rFonts w:ascii="宋体" w:hAnsi="宋体" w:cs="Arial" w:hint="eastAsia"/>
          <w:color w:val="000000"/>
          <w:sz w:val="21"/>
          <w:szCs w:val="21"/>
        </w:rPr>
        <w:t>3.</w:t>
      </w:r>
      <w:r>
        <w:rPr>
          <w:rFonts w:ascii="宋体" w:hAnsi="宋体" w:cs="Arial"/>
          <w:color w:val="000000"/>
          <w:sz w:val="21"/>
          <w:szCs w:val="21"/>
        </w:rPr>
        <w:t>估值与资本预算</w:t>
      </w:r>
    </w:p>
    <w:p w:rsidR="00B306B6" w:rsidRDefault="00B306B6" w:rsidP="00B306B6">
      <w:pPr>
        <w:adjustRightInd w:val="0"/>
        <w:snapToGrid w:val="0"/>
        <w:spacing w:line="360" w:lineRule="auto"/>
        <w:ind w:firstLineChars="0" w:firstLine="420"/>
        <w:rPr>
          <w:rFonts w:ascii="宋体" w:hAnsi="宋体" w:cs="Arial"/>
          <w:color w:val="000000"/>
          <w:sz w:val="21"/>
          <w:szCs w:val="21"/>
        </w:rPr>
      </w:pPr>
      <w:r>
        <w:rPr>
          <w:rFonts w:ascii="宋体" w:hAnsi="宋体" w:cs="Arial" w:hint="eastAsia"/>
          <w:color w:val="000000"/>
          <w:sz w:val="21"/>
          <w:szCs w:val="21"/>
        </w:rPr>
        <w:t>现金流估算、资本预算决策的基本方法与资本分配、资本预算中的风险分析</w:t>
      </w:r>
    </w:p>
    <w:p w:rsidR="00B306B6" w:rsidRDefault="00B306B6" w:rsidP="00B306B6">
      <w:pPr>
        <w:adjustRightInd w:val="0"/>
        <w:snapToGrid w:val="0"/>
        <w:spacing w:line="360" w:lineRule="auto"/>
        <w:ind w:firstLineChars="0" w:firstLine="420"/>
        <w:rPr>
          <w:rFonts w:ascii="宋体" w:hAnsi="宋体" w:cs="Arial"/>
          <w:color w:val="000000"/>
          <w:sz w:val="21"/>
          <w:szCs w:val="21"/>
        </w:rPr>
      </w:pPr>
      <w:r>
        <w:rPr>
          <w:rFonts w:ascii="宋体" w:hAnsi="宋体" w:cs="Arial" w:hint="eastAsia"/>
          <w:color w:val="000000"/>
          <w:sz w:val="21"/>
          <w:szCs w:val="21"/>
        </w:rPr>
        <w:t>4.资本结构与股利政策</w:t>
      </w:r>
    </w:p>
    <w:p w:rsidR="00B306B6" w:rsidRDefault="00B306B6" w:rsidP="00B306B6">
      <w:pPr>
        <w:adjustRightInd w:val="0"/>
        <w:snapToGrid w:val="0"/>
        <w:spacing w:line="360" w:lineRule="auto"/>
        <w:ind w:firstLineChars="0" w:firstLine="420"/>
        <w:rPr>
          <w:rFonts w:ascii="宋体" w:hAnsi="宋体" w:cs="Arial"/>
          <w:color w:val="000000"/>
          <w:sz w:val="21"/>
          <w:szCs w:val="21"/>
        </w:rPr>
      </w:pPr>
      <w:r>
        <w:rPr>
          <w:rFonts w:ascii="宋体" w:hAnsi="宋体" w:cs="Arial" w:hint="eastAsia"/>
          <w:color w:val="000000"/>
          <w:sz w:val="21"/>
          <w:szCs w:val="21"/>
        </w:rPr>
        <w:t>资本结构基本概念与理论、公司筹资方式、营运资金政策、股利分配决策</w:t>
      </w:r>
    </w:p>
    <w:p w:rsidR="00B306B6" w:rsidRDefault="00B306B6" w:rsidP="00B306B6">
      <w:pPr>
        <w:adjustRightInd w:val="0"/>
        <w:snapToGrid w:val="0"/>
        <w:spacing w:line="360" w:lineRule="auto"/>
        <w:ind w:firstLineChars="0" w:firstLine="420"/>
        <w:rPr>
          <w:rFonts w:ascii="宋体" w:hAnsi="宋体" w:cs="Arial"/>
          <w:color w:val="000000"/>
          <w:sz w:val="21"/>
          <w:szCs w:val="21"/>
        </w:rPr>
      </w:pPr>
      <w:r>
        <w:rPr>
          <w:rFonts w:ascii="宋体" w:hAnsi="宋体" w:cs="Arial" w:hint="eastAsia"/>
          <w:color w:val="000000"/>
          <w:sz w:val="21"/>
          <w:szCs w:val="21"/>
        </w:rPr>
        <w:t>5.公司金融战略与国际化</w:t>
      </w:r>
    </w:p>
    <w:p w:rsidR="00B306B6" w:rsidRDefault="00B306B6" w:rsidP="00B306B6">
      <w:pPr>
        <w:adjustRightInd w:val="0"/>
        <w:snapToGrid w:val="0"/>
        <w:spacing w:line="360" w:lineRule="auto"/>
        <w:ind w:firstLineChars="0" w:firstLine="420"/>
        <w:rPr>
          <w:rFonts w:ascii="宋体" w:hAnsi="宋体" w:cs="Arial"/>
          <w:color w:val="000000"/>
          <w:sz w:val="21"/>
          <w:szCs w:val="21"/>
        </w:rPr>
      </w:pPr>
      <w:r>
        <w:rPr>
          <w:rFonts w:ascii="宋体" w:hAnsi="宋体" w:cs="Arial" w:hint="eastAsia"/>
          <w:color w:val="000000"/>
          <w:sz w:val="21"/>
          <w:szCs w:val="21"/>
        </w:rPr>
        <w:t>公司金融战略的类型与特点、公司并购的类型与程序、公司并购的动机分析、公司并购的定价方法与融资问题、公司金融国际化的趋势、公司国际化投融资管理</w:t>
      </w:r>
    </w:p>
    <w:p w:rsidR="00B306B6" w:rsidRDefault="00B306B6" w:rsidP="00B306B6">
      <w:pPr>
        <w:spacing w:beforeLines="10" w:afterLines="10" w:line="360" w:lineRule="auto"/>
        <w:ind w:leftChars="200" w:left="480" w:firstLineChars="0" w:firstLine="0"/>
        <w:rPr>
          <w:rFonts w:ascii="Times New Roman" w:hAnsi="Times New Roman" w:cs="Times New Roman"/>
          <w:szCs w:val="24"/>
        </w:rPr>
      </w:pPr>
      <w:r>
        <w:rPr>
          <w:rFonts w:ascii="Times New Roman" w:hAnsi="Times New Roman" w:cs="Times New Roman" w:hint="eastAsia"/>
          <w:b/>
          <w:szCs w:val="24"/>
        </w:rPr>
        <w:t>参考教材或主要参考书</w:t>
      </w:r>
      <w:r>
        <w:rPr>
          <w:rFonts w:ascii="Times New Roman" w:hAnsi="Times New Roman" w:cs="Times New Roman" w:hint="eastAsia"/>
          <w:szCs w:val="24"/>
        </w:rPr>
        <w:t>：</w:t>
      </w:r>
    </w:p>
    <w:p w:rsidR="00B306B6" w:rsidRDefault="00B306B6" w:rsidP="00B306B6">
      <w:pPr>
        <w:adjustRightInd w:val="0"/>
        <w:snapToGrid w:val="0"/>
        <w:spacing w:line="360" w:lineRule="auto"/>
        <w:ind w:firstLineChars="0" w:firstLine="420"/>
        <w:rPr>
          <w:rFonts w:ascii="宋体" w:hAnsi="宋体" w:cs="Arial"/>
          <w:color w:val="000000"/>
          <w:sz w:val="21"/>
          <w:szCs w:val="21"/>
        </w:rPr>
      </w:pPr>
      <w:r>
        <w:rPr>
          <w:rFonts w:ascii="宋体" w:hAnsi="宋体" w:cs="Arial" w:hint="eastAsia"/>
          <w:color w:val="000000"/>
          <w:sz w:val="21"/>
          <w:szCs w:val="21"/>
        </w:rPr>
        <w:t>1.《金融学》（第四版）[货币银行学（第六版）]，黄达、张杰编著，中国人民大学出版社，2017年。</w:t>
      </w:r>
    </w:p>
    <w:p w:rsidR="00B306B6" w:rsidRDefault="00B306B6" w:rsidP="00B306B6">
      <w:pPr>
        <w:adjustRightInd w:val="0"/>
        <w:snapToGrid w:val="0"/>
        <w:spacing w:line="360" w:lineRule="auto"/>
        <w:ind w:firstLineChars="0" w:firstLine="420"/>
        <w:rPr>
          <w:rFonts w:ascii="宋体" w:hAnsi="宋体" w:cs="Arial"/>
          <w:color w:val="000000"/>
          <w:sz w:val="21"/>
          <w:szCs w:val="21"/>
        </w:rPr>
      </w:pPr>
      <w:r>
        <w:rPr>
          <w:rFonts w:ascii="宋体" w:hAnsi="宋体" w:cs="Arial" w:hint="eastAsia"/>
          <w:color w:val="000000"/>
          <w:sz w:val="21"/>
          <w:szCs w:val="21"/>
        </w:rPr>
        <w:t>2.《公司金融学》（第四版），杨丽荣主编，科学出版社，2016年。</w:t>
      </w:r>
    </w:p>
    <w:p w:rsidR="00E44C35" w:rsidRPr="00B306B6" w:rsidRDefault="00E44C35" w:rsidP="00B306B6">
      <w:pPr>
        <w:spacing w:beforeLines="100" w:afterLines="10" w:line="360" w:lineRule="auto"/>
        <w:ind w:firstLineChars="0" w:firstLine="0"/>
        <w:rPr>
          <w:rFonts w:ascii="宋体" w:hAnsi="宋体" w:cs="Arial"/>
          <w:color w:val="000000"/>
          <w:sz w:val="21"/>
          <w:szCs w:val="21"/>
        </w:rPr>
      </w:pPr>
    </w:p>
    <w:sectPr w:rsidR="00E44C35" w:rsidRPr="00B306B6" w:rsidSect="001E41A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56A" w:rsidRDefault="009B256A" w:rsidP="009300EA">
      <w:pPr>
        <w:ind w:firstLine="480"/>
      </w:pPr>
      <w:r>
        <w:separator/>
      </w:r>
    </w:p>
  </w:endnote>
  <w:endnote w:type="continuationSeparator" w:id="0">
    <w:p w:rsidR="009B256A" w:rsidRDefault="009B256A" w:rsidP="009300EA">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EA" w:rsidRDefault="009300EA" w:rsidP="009300EA">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EA" w:rsidRDefault="009300EA" w:rsidP="009300EA">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EA" w:rsidRDefault="009300EA" w:rsidP="009300EA">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56A" w:rsidRDefault="009B256A" w:rsidP="009300EA">
      <w:pPr>
        <w:ind w:firstLine="480"/>
      </w:pPr>
      <w:r>
        <w:separator/>
      </w:r>
    </w:p>
  </w:footnote>
  <w:footnote w:type="continuationSeparator" w:id="0">
    <w:p w:rsidR="009B256A" w:rsidRDefault="009B256A" w:rsidP="009300EA">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EA" w:rsidRDefault="009300EA" w:rsidP="009300EA">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EA" w:rsidRDefault="009300EA" w:rsidP="009300EA">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EA" w:rsidRDefault="009300EA" w:rsidP="009300EA">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78643"/>
    <w:multiLevelType w:val="singleLevel"/>
    <w:tmpl w:val="38C78643"/>
    <w:lvl w:ilvl="0">
      <w:start w:val="2"/>
      <w:numFmt w:val="chineseCounting"/>
      <w:suff w:val="space"/>
      <w:lvlText w:val="第%1部分"/>
      <w:lvlJc w:val="left"/>
      <w:rPr>
        <w:rFonts w:hint="eastAsia"/>
      </w:rPr>
    </w:lvl>
  </w:abstractNum>
  <w:abstractNum w:abstractNumId="1">
    <w:nsid w:val="5907FBF9"/>
    <w:multiLevelType w:val="singleLevel"/>
    <w:tmpl w:val="5907FBF9"/>
    <w:lvl w:ilvl="0">
      <w:start w:val="1"/>
      <w:numFmt w:val="chineseCounting"/>
      <w:suff w:val="nothing"/>
      <w:lvlText w:val="%1、"/>
      <w:lvlJc w:val="left"/>
    </w:lvl>
  </w:abstractNum>
  <w:abstractNum w:abstractNumId="2">
    <w:nsid w:val="5907FC4F"/>
    <w:multiLevelType w:val="singleLevel"/>
    <w:tmpl w:val="5907FC4F"/>
    <w:lvl w:ilvl="0">
      <w:start w:val="1"/>
      <w:numFmt w:val="chineseCounting"/>
      <w:suff w:val="nothing"/>
      <w:lvlText w:val="（%1）"/>
      <w:lvlJc w:val="left"/>
    </w:lvl>
  </w:abstractNum>
  <w:abstractNum w:abstractNumId="3">
    <w:nsid w:val="5907FE2A"/>
    <w:multiLevelType w:val="singleLevel"/>
    <w:tmpl w:val="5907FE2A"/>
    <w:lvl w:ilvl="0">
      <w:start w:val="3"/>
      <w:numFmt w:val="chineseCounting"/>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0A72"/>
    <w:rsid w:val="000057AF"/>
    <w:rsid w:val="00024DF3"/>
    <w:rsid w:val="000D2A5B"/>
    <w:rsid w:val="001A4F88"/>
    <w:rsid w:val="001C10BA"/>
    <w:rsid w:val="001E41A9"/>
    <w:rsid w:val="00200CDD"/>
    <w:rsid w:val="002720BD"/>
    <w:rsid w:val="00284911"/>
    <w:rsid w:val="002902D1"/>
    <w:rsid w:val="00295F14"/>
    <w:rsid w:val="002E1E83"/>
    <w:rsid w:val="003B36F5"/>
    <w:rsid w:val="003E4C50"/>
    <w:rsid w:val="00402F31"/>
    <w:rsid w:val="0046602B"/>
    <w:rsid w:val="004A67FB"/>
    <w:rsid w:val="00560913"/>
    <w:rsid w:val="00574B2D"/>
    <w:rsid w:val="00590560"/>
    <w:rsid w:val="005C0FF0"/>
    <w:rsid w:val="00626E0A"/>
    <w:rsid w:val="006E114B"/>
    <w:rsid w:val="006E3EAA"/>
    <w:rsid w:val="00734DC3"/>
    <w:rsid w:val="007B2F59"/>
    <w:rsid w:val="008E0677"/>
    <w:rsid w:val="008E16F4"/>
    <w:rsid w:val="0090450F"/>
    <w:rsid w:val="009300EA"/>
    <w:rsid w:val="00977CFD"/>
    <w:rsid w:val="00993F0C"/>
    <w:rsid w:val="009B256A"/>
    <w:rsid w:val="009D7329"/>
    <w:rsid w:val="00A377A0"/>
    <w:rsid w:val="00A64DB4"/>
    <w:rsid w:val="00AC11EC"/>
    <w:rsid w:val="00B00B61"/>
    <w:rsid w:val="00B306B6"/>
    <w:rsid w:val="00B51965"/>
    <w:rsid w:val="00BC4FEF"/>
    <w:rsid w:val="00CC4859"/>
    <w:rsid w:val="00DA4C80"/>
    <w:rsid w:val="00DB4E15"/>
    <w:rsid w:val="00E37862"/>
    <w:rsid w:val="00E44C35"/>
    <w:rsid w:val="00E57B19"/>
    <w:rsid w:val="00E70737"/>
    <w:rsid w:val="00E80B9E"/>
    <w:rsid w:val="00ED1F01"/>
    <w:rsid w:val="00F0402C"/>
    <w:rsid w:val="00F15B49"/>
    <w:rsid w:val="00F829D2"/>
    <w:rsid w:val="00F92BD8"/>
    <w:rsid w:val="00FF0A72"/>
    <w:rsid w:val="00FF58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CFD"/>
    <w:pPr>
      <w:widowControl w:val="0"/>
      <w:ind w:firstLineChars="200" w:firstLine="200"/>
      <w:jc w:val="both"/>
    </w:pPr>
    <w:rPr>
      <w:rFonts w:eastAsia="宋体"/>
      <w:sz w:val="24"/>
    </w:rPr>
  </w:style>
  <w:style w:type="paragraph" w:styleId="2">
    <w:name w:val="heading 2"/>
    <w:basedOn w:val="a"/>
    <w:next w:val="a"/>
    <w:link w:val="2Char"/>
    <w:autoRedefine/>
    <w:uiPriority w:val="9"/>
    <w:unhideWhenUsed/>
    <w:qFormat/>
    <w:rsid w:val="004A67FB"/>
    <w:pPr>
      <w:keepNext/>
      <w:keepLines/>
      <w:spacing w:before="120" w:after="120" w:line="312" w:lineRule="auto"/>
      <w:ind w:firstLineChars="0" w:firstLine="0"/>
      <w:outlineLvl w:val="1"/>
    </w:pPr>
    <w:rPr>
      <w:rFonts w:ascii="Times New Roman" w:hAnsi="Times New Roman" w:cstheme="majorBidi"/>
      <w:b/>
      <w:bCs/>
      <w:sz w:val="28"/>
      <w:szCs w:val="32"/>
    </w:rPr>
  </w:style>
  <w:style w:type="paragraph" w:styleId="3">
    <w:name w:val="heading 3"/>
    <w:basedOn w:val="a"/>
    <w:next w:val="a"/>
    <w:link w:val="3Char"/>
    <w:autoRedefine/>
    <w:uiPriority w:val="9"/>
    <w:unhideWhenUsed/>
    <w:qFormat/>
    <w:rsid w:val="004A67FB"/>
    <w:pPr>
      <w:keepNext/>
      <w:keepLines/>
      <w:spacing w:line="312" w:lineRule="auto"/>
      <w:ind w:firstLineChars="0" w:firstLine="0"/>
      <w:outlineLvl w:val="2"/>
    </w:pPr>
    <w:rPr>
      <w:rFonts w:eastAsia="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A67FB"/>
    <w:rPr>
      <w:rFonts w:ascii="Times New Roman" w:eastAsia="宋体" w:hAnsi="Times New Roman" w:cstheme="majorBidi"/>
      <w:b/>
      <w:bCs/>
      <w:sz w:val="28"/>
      <w:szCs w:val="32"/>
    </w:rPr>
  </w:style>
  <w:style w:type="character" w:customStyle="1" w:styleId="3Char">
    <w:name w:val="标题 3 Char"/>
    <w:basedOn w:val="a0"/>
    <w:link w:val="3"/>
    <w:uiPriority w:val="9"/>
    <w:rsid w:val="004A67FB"/>
    <w:rPr>
      <w:rFonts w:eastAsia="Times New Roman"/>
      <w:b/>
      <w:bCs/>
      <w:sz w:val="32"/>
      <w:szCs w:val="32"/>
    </w:rPr>
  </w:style>
  <w:style w:type="paragraph" w:styleId="a3">
    <w:name w:val="header"/>
    <w:basedOn w:val="a"/>
    <w:link w:val="Char"/>
    <w:uiPriority w:val="99"/>
    <w:unhideWhenUsed/>
    <w:rsid w:val="009300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00EA"/>
    <w:rPr>
      <w:rFonts w:eastAsia="宋体"/>
      <w:sz w:val="18"/>
      <w:szCs w:val="18"/>
    </w:rPr>
  </w:style>
  <w:style w:type="paragraph" w:styleId="a4">
    <w:name w:val="footer"/>
    <w:basedOn w:val="a"/>
    <w:link w:val="Char0"/>
    <w:uiPriority w:val="99"/>
    <w:unhideWhenUsed/>
    <w:rsid w:val="009300EA"/>
    <w:pPr>
      <w:tabs>
        <w:tab w:val="center" w:pos="4153"/>
        <w:tab w:val="right" w:pos="8306"/>
      </w:tabs>
      <w:snapToGrid w:val="0"/>
      <w:jc w:val="left"/>
    </w:pPr>
    <w:rPr>
      <w:sz w:val="18"/>
      <w:szCs w:val="18"/>
    </w:rPr>
  </w:style>
  <w:style w:type="character" w:customStyle="1" w:styleId="Char0">
    <w:name w:val="页脚 Char"/>
    <w:basedOn w:val="a0"/>
    <w:link w:val="a4"/>
    <w:uiPriority w:val="99"/>
    <w:rsid w:val="009300EA"/>
    <w:rPr>
      <w:rFonts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CFD"/>
    <w:pPr>
      <w:widowControl w:val="0"/>
      <w:ind w:firstLineChars="200" w:firstLine="200"/>
      <w:jc w:val="both"/>
    </w:pPr>
    <w:rPr>
      <w:rFonts w:eastAsia="宋体"/>
      <w:sz w:val="24"/>
    </w:rPr>
  </w:style>
  <w:style w:type="paragraph" w:styleId="2">
    <w:name w:val="heading 2"/>
    <w:basedOn w:val="a"/>
    <w:next w:val="a"/>
    <w:link w:val="2Char"/>
    <w:autoRedefine/>
    <w:uiPriority w:val="9"/>
    <w:unhideWhenUsed/>
    <w:qFormat/>
    <w:rsid w:val="004A67FB"/>
    <w:pPr>
      <w:keepNext/>
      <w:keepLines/>
      <w:spacing w:before="120" w:after="120" w:line="312" w:lineRule="auto"/>
      <w:ind w:firstLineChars="0" w:firstLine="0"/>
      <w:outlineLvl w:val="1"/>
    </w:pPr>
    <w:rPr>
      <w:rFonts w:ascii="Times New Roman" w:hAnsi="Times New Roman" w:cstheme="majorBidi"/>
      <w:b/>
      <w:bCs/>
      <w:sz w:val="28"/>
      <w:szCs w:val="32"/>
    </w:rPr>
  </w:style>
  <w:style w:type="paragraph" w:styleId="3">
    <w:name w:val="heading 3"/>
    <w:basedOn w:val="a"/>
    <w:next w:val="a"/>
    <w:link w:val="3Char"/>
    <w:autoRedefine/>
    <w:uiPriority w:val="9"/>
    <w:unhideWhenUsed/>
    <w:qFormat/>
    <w:rsid w:val="004A67FB"/>
    <w:pPr>
      <w:keepNext/>
      <w:keepLines/>
      <w:spacing w:line="312" w:lineRule="auto"/>
      <w:ind w:firstLineChars="0" w:firstLine="0"/>
      <w:outlineLvl w:val="2"/>
    </w:pPr>
    <w:rPr>
      <w:rFonts w:eastAsia="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A67FB"/>
    <w:rPr>
      <w:rFonts w:ascii="Times New Roman" w:eastAsia="宋体" w:hAnsi="Times New Roman" w:cstheme="majorBidi"/>
      <w:b/>
      <w:bCs/>
      <w:sz w:val="28"/>
      <w:szCs w:val="32"/>
    </w:rPr>
  </w:style>
  <w:style w:type="character" w:customStyle="1" w:styleId="3Char">
    <w:name w:val="标题 3 Char"/>
    <w:basedOn w:val="a0"/>
    <w:link w:val="3"/>
    <w:uiPriority w:val="9"/>
    <w:rsid w:val="004A67FB"/>
    <w:rPr>
      <w:rFonts w:eastAsia="Times New Roman"/>
      <w:b/>
      <w:bCs/>
      <w:sz w:val="32"/>
      <w:szCs w:val="32"/>
    </w:rPr>
  </w:style>
  <w:style w:type="paragraph" w:styleId="a3">
    <w:name w:val="header"/>
    <w:basedOn w:val="a"/>
    <w:link w:val="Char"/>
    <w:uiPriority w:val="99"/>
    <w:unhideWhenUsed/>
    <w:rsid w:val="009300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00EA"/>
    <w:rPr>
      <w:rFonts w:eastAsia="宋体"/>
      <w:sz w:val="18"/>
      <w:szCs w:val="18"/>
    </w:rPr>
  </w:style>
  <w:style w:type="paragraph" w:styleId="a4">
    <w:name w:val="footer"/>
    <w:basedOn w:val="a"/>
    <w:link w:val="Char0"/>
    <w:uiPriority w:val="99"/>
    <w:unhideWhenUsed/>
    <w:rsid w:val="009300EA"/>
    <w:pPr>
      <w:tabs>
        <w:tab w:val="center" w:pos="4153"/>
        <w:tab w:val="right" w:pos="8306"/>
      </w:tabs>
      <w:snapToGrid w:val="0"/>
      <w:jc w:val="left"/>
    </w:pPr>
    <w:rPr>
      <w:sz w:val="18"/>
      <w:szCs w:val="18"/>
    </w:rPr>
  </w:style>
  <w:style w:type="character" w:customStyle="1" w:styleId="Char0">
    <w:name w:val="页脚 Char"/>
    <w:basedOn w:val="a0"/>
    <w:link w:val="a4"/>
    <w:uiPriority w:val="99"/>
    <w:rsid w:val="009300EA"/>
    <w:rPr>
      <w:rFonts w:eastAsia="宋体"/>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914AE-A1E9-44DF-871D-A40A0857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huyurong</dc:creator>
  <cp:lastModifiedBy>wszhz</cp:lastModifiedBy>
  <cp:revision>7</cp:revision>
  <dcterms:created xsi:type="dcterms:W3CDTF">2018-06-24T23:20:00Z</dcterms:created>
  <dcterms:modified xsi:type="dcterms:W3CDTF">2020-07-18T04:25:00Z</dcterms:modified>
</cp:coreProperties>
</file>